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BF1FB1" w:rsidRPr="00BF1FB1" w:rsidTr="00BF1FB1">
        <w:trPr>
          <w:trHeight w:val="1024"/>
        </w:trPr>
        <w:tc>
          <w:tcPr>
            <w:tcW w:w="9571" w:type="dxa"/>
            <w:tcBorders>
              <w:top w:val="nil"/>
              <w:left w:val="nil"/>
              <w:bottom w:val="nil"/>
              <w:right w:val="nil"/>
            </w:tcBorders>
          </w:tcPr>
          <w:p w:rsidR="00BF1FB1" w:rsidRPr="00BF1FB1" w:rsidRDefault="00BF1FB1" w:rsidP="00BF1FB1">
            <w:pPr>
              <w:tabs>
                <w:tab w:val="center" w:pos="4677"/>
                <w:tab w:val="left" w:pos="8520"/>
              </w:tabs>
              <w:spacing w:after="0" w:line="240" w:lineRule="auto"/>
              <w:rPr>
                <w:rFonts w:ascii="Times New Roman" w:hAnsi="Times New Roman" w:cs="Times New Roman"/>
                <w:sz w:val="28"/>
                <w:szCs w:val="28"/>
              </w:rPr>
            </w:pPr>
            <w:r w:rsidRPr="00BF1FB1">
              <w:rPr>
                <w:rFonts w:ascii="Times New Roman" w:hAnsi="Times New Roman" w:cs="Times New Roman"/>
                <w:sz w:val="28"/>
                <w:szCs w:val="28"/>
              </w:rPr>
              <w:tab/>
              <w:t>КРАСНОЯРСКИЙ КРАЙ</w:t>
            </w:r>
            <w:r w:rsidRPr="00BF1FB1">
              <w:rPr>
                <w:rFonts w:ascii="Times New Roman" w:hAnsi="Times New Roman" w:cs="Times New Roman"/>
                <w:sz w:val="28"/>
                <w:szCs w:val="28"/>
              </w:rPr>
              <w:tab/>
            </w:r>
          </w:p>
          <w:p w:rsidR="00BF1FB1" w:rsidRPr="00BF1FB1" w:rsidRDefault="00BF1FB1" w:rsidP="00BF1FB1">
            <w:pPr>
              <w:spacing w:after="0" w:line="240" w:lineRule="auto"/>
              <w:jc w:val="center"/>
              <w:rPr>
                <w:rFonts w:ascii="Times New Roman" w:hAnsi="Times New Roman" w:cs="Times New Roman"/>
                <w:sz w:val="28"/>
                <w:szCs w:val="28"/>
              </w:rPr>
            </w:pPr>
            <w:r w:rsidRPr="00BF1FB1">
              <w:rPr>
                <w:rFonts w:ascii="Times New Roman" w:hAnsi="Times New Roman" w:cs="Times New Roman"/>
                <w:sz w:val="28"/>
                <w:szCs w:val="28"/>
              </w:rPr>
              <w:t>ИДРИНСКИЙ РАЙОН</w:t>
            </w:r>
          </w:p>
          <w:p w:rsidR="00BF1FB1" w:rsidRPr="00BF1FB1" w:rsidRDefault="00BF1FB1" w:rsidP="00BF1FB1">
            <w:pPr>
              <w:spacing w:after="0" w:line="240" w:lineRule="auto"/>
              <w:jc w:val="center"/>
              <w:rPr>
                <w:rFonts w:ascii="Times New Roman" w:hAnsi="Times New Roman" w:cs="Times New Roman"/>
                <w:sz w:val="28"/>
                <w:szCs w:val="28"/>
              </w:rPr>
            </w:pPr>
            <w:r w:rsidRPr="00BF1FB1">
              <w:rPr>
                <w:rFonts w:ascii="Times New Roman" w:hAnsi="Times New Roman" w:cs="Times New Roman"/>
                <w:sz w:val="28"/>
                <w:szCs w:val="28"/>
              </w:rPr>
              <w:t>АДМИНИСТРАЦИЯ НОВОБЕРЕЗОВСКОГО  СЕЛЬСОВЕТА</w:t>
            </w:r>
          </w:p>
          <w:p w:rsidR="00BF1FB1" w:rsidRPr="00BF1FB1" w:rsidRDefault="00BF1FB1" w:rsidP="00BF1FB1">
            <w:pPr>
              <w:spacing w:after="0" w:line="240" w:lineRule="auto"/>
              <w:jc w:val="center"/>
              <w:rPr>
                <w:rFonts w:ascii="Times New Roman" w:hAnsi="Times New Roman" w:cs="Times New Roman"/>
                <w:sz w:val="28"/>
                <w:szCs w:val="28"/>
              </w:rPr>
            </w:pPr>
          </w:p>
          <w:p w:rsidR="00BF1FB1" w:rsidRPr="00BF1FB1" w:rsidRDefault="00BF1FB1" w:rsidP="00BF1FB1">
            <w:pPr>
              <w:spacing w:after="0" w:line="240" w:lineRule="auto"/>
              <w:jc w:val="center"/>
              <w:rPr>
                <w:rFonts w:ascii="Times New Roman" w:hAnsi="Times New Roman" w:cs="Times New Roman"/>
                <w:b/>
                <w:sz w:val="28"/>
                <w:szCs w:val="28"/>
              </w:rPr>
            </w:pPr>
            <w:r w:rsidRPr="00BF1FB1">
              <w:rPr>
                <w:rFonts w:ascii="Times New Roman" w:hAnsi="Times New Roman" w:cs="Times New Roman"/>
                <w:b/>
                <w:sz w:val="28"/>
                <w:szCs w:val="28"/>
              </w:rPr>
              <w:t xml:space="preserve"> ПОСТАНОВЛЕНИЕ</w:t>
            </w:r>
          </w:p>
          <w:tbl>
            <w:tblPr>
              <w:tblW w:w="9412" w:type="dxa"/>
              <w:tblLook w:val="01E0" w:firstRow="1" w:lastRow="1" w:firstColumn="1" w:lastColumn="1" w:noHBand="0" w:noVBand="0"/>
            </w:tblPr>
            <w:tblGrid>
              <w:gridCol w:w="3124"/>
              <w:gridCol w:w="3144"/>
              <w:gridCol w:w="3144"/>
            </w:tblGrid>
            <w:tr w:rsidR="00BF1FB1" w:rsidRPr="00BF1FB1">
              <w:tc>
                <w:tcPr>
                  <w:tcW w:w="3124" w:type="dxa"/>
                  <w:hideMark/>
                </w:tcPr>
                <w:p w:rsidR="00BF1FB1" w:rsidRPr="00BF1FB1" w:rsidRDefault="00BF1FB1" w:rsidP="00BF1F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05.02</w:t>
                  </w:r>
                  <w:r w:rsidRPr="00BF1FB1">
                    <w:rPr>
                      <w:rFonts w:ascii="Times New Roman" w:hAnsi="Times New Roman" w:cs="Times New Roman"/>
                      <w:sz w:val="28"/>
                      <w:szCs w:val="28"/>
                    </w:rPr>
                    <w:t>.2024 г.</w:t>
                  </w:r>
                </w:p>
              </w:tc>
              <w:tc>
                <w:tcPr>
                  <w:tcW w:w="3144" w:type="dxa"/>
                  <w:hideMark/>
                </w:tcPr>
                <w:p w:rsidR="00BF1FB1" w:rsidRPr="00BF1FB1" w:rsidRDefault="00BF1FB1" w:rsidP="00BF1FB1">
                  <w:pPr>
                    <w:spacing w:after="0" w:line="240" w:lineRule="auto"/>
                    <w:jc w:val="center"/>
                    <w:rPr>
                      <w:rFonts w:ascii="Times New Roman" w:hAnsi="Times New Roman" w:cs="Times New Roman"/>
                      <w:i/>
                      <w:sz w:val="28"/>
                      <w:szCs w:val="28"/>
                    </w:rPr>
                  </w:pPr>
                  <w:proofErr w:type="gramStart"/>
                  <w:r w:rsidRPr="00BF1FB1">
                    <w:rPr>
                      <w:rFonts w:ascii="Times New Roman" w:hAnsi="Times New Roman" w:cs="Times New Roman"/>
                      <w:sz w:val="28"/>
                      <w:szCs w:val="28"/>
                    </w:rPr>
                    <w:t>с</w:t>
                  </w:r>
                  <w:proofErr w:type="gramEnd"/>
                  <w:r w:rsidRPr="00BF1FB1">
                    <w:rPr>
                      <w:rFonts w:ascii="Times New Roman" w:hAnsi="Times New Roman" w:cs="Times New Roman"/>
                      <w:sz w:val="28"/>
                      <w:szCs w:val="28"/>
                    </w:rPr>
                    <w:t>. Новоберезовка</w:t>
                  </w:r>
                </w:p>
              </w:tc>
              <w:tc>
                <w:tcPr>
                  <w:tcW w:w="3144" w:type="dxa"/>
                  <w:hideMark/>
                </w:tcPr>
                <w:p w:rsidR="00BF1FB1" w:rsidRPr="00BF1FB1" w:rsidRDefault="00BF1FB1" w:rsidP="00BF1FB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8</w:t>
                  </w:r>
                  <w:r w:rsidRPr="00BF1FB1">
                    <w:rPr>
                      <w:rFonts w:ascii="Times New Roman" w:hAnsi="Times New Roman" w:cs="Times New Roman"/>
                      <w:sz w:val="28"/>
                      <w:szCs w:val="28"/>
                    </w:rPr>
                    <w:t>-п</w:t>
                  </w:r>
                </w:p>
              </w:tc>
            </w:tr>
          </w:tbl>
          <w:p w:rsidR="00BF1FB1" w:rsidRPr="00BF1FB1" w:rsidRDefault="00BF1FB1" w:rsidP="00BF1FB1">
            <w:pPr>
              <w:pStyle w:val="ConsTitle"/>
              <w:widowControl/>
              <w:ind w:right="0"/>
              <w:jc w:val="both"/>
              <w:rPr>
                <w:rFonts w:ascii="Times New Roman" w:hAnsi="Times New Roman" w:cs="Times New Roman"/>
                <w:sz w:val="28"/>
                <w:szCs w:val="28"/>
              </w:rPr>
            </w:pPr>
          </w:p>
        </w:tc>
      </w:tr>
    </w:tbl>
    <w:p w:rsidR="00BF1FB1" w:rsidRPr="00BF1FB1" w:rsidRDefault="00BF1FB1" w:rsidP="00BF1FB1">
      <w:pPr>
        <w:pStyle w:val="a6"/>
        <w:ind w:left="0" w:firstLine="708"/>
        <w:jc w:val="both"/>
        <w:rPr>
          <w:sz w:val="28"/>
          <w:szCs w:val="28"/>
        </w:rPr>
      </w:pPr>
    </w:p>
    <w:p w:rsidR="003C79E1" w:rsidRDefault="003C79E1" w:rsidP="00585181">
      <w:pPr>
        <w:spacing w:after="0" w:line="240" w:lineRule="auto"/>
        <w:ind w:firstLine="709"/>
        <w:rPr>
          <w:rFonts w:ascii="Times New Roman" w:hAnsi="Times New Roman" w:cs="Times New Roman"/>
          <w:sz w:val="28"/>
          <w:szCs w:val="28"/>
        </w:rPr>
      </w:pPr>
    </w:p>
    <w:p w:rsidR="003C79E1" w:rsidRPr="00585181" w:rsidRDefault="001C128E" w:rsidP="00585181">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Об утверждении П</w:t>
      </w:r>
      <w:r w:rsidR="003C79E1" w:rsidRPr="00585181">
        <w:rPr>
          <w:rFonts w:ascii="Times New Roman" w:hAnsi="Times New Roman" w:cs="Times New Roman"/>
          <w:b w:val="0"/>
          <w:sz w:val="28"/>
          <w:szCs w:val="28"/>
        </w:rPr>
        <w:t>орядка санкционирования оплаты денежных обязательств</w:t>
      </w:r>
    </w:p>
    <w:p w:rsidR="003C79E1" w:rsidRPr="00585181" w:rsidRDefault="003C79E1" w:rsidP="00585181">
      <w:pPr>
        <w:pStyle w:val="ConsPlusTitle"/>
        <w:jc w:val="both"/>
        <w:rPr>
          <w:rFonts w:ascii="Times New Roman" w:hAnsi="Times New Roman" w:cs="Times New Roman"/>
          <w:b w:val="0"/>
          <w:sz w:val="28"/>
          <w:szCs w:val="28"/>
        </w:rPr>
      </w:pPr>
      <w:r w:rsidRPr="00585181">
        <w:rPr>
          <w:rFonts w:ascii="Times New Roman" w:hAnsi="Times New Roman" w:cs="Times New Roman"/>
          <w:b w:val="0"/>
          <w:sz w:val="28"/>
          <w:szCs w:val="28"/>
        </w:rPr>
        <w:t xml:space="preserve">получателей средств бюджета </w:t>
      </w:r>
      <w:proofErr w:type="spellStart"/>
      <w:r w:rsidR="00BF1FB1">
        <w:rPr>
          <w:rFonts w:ascii="Times New Roman" w:hAnsi="Times New Roman" w:cs="Times New Roman"/>
          <w:b w:val="0"/>
          <w:sz w:val="28"/>
          <w:szCs w:val="28"/>
        </w:rPr>
        <w:t>Новоберезов</w:t>
      </w:r>
      <w:r w:rsidR="00B403AF">
        <w:rPr>
          <w:rFonts w:ascii="Times New Roman" w:hAnsi="Times New Roman" w:cs="Times New Roman"/>
          <w:b w:val="0"/>
          <w:sz w:val="28"/>
          <w:szCs w:val="28"/>
        </w:rPr>
        <w:t>ского</w:t>
      </w:r>
      <w:proofErr w:type="spellEnd"/>
      <w:r w:rsidRPr="00585181">
        <w:rPr>
          <w:rFonts w:ascii="Times New Roman" w:hAnsi="Times New Roman" w:cs="Times New Roman"/>
          <w:b w:val="0"/>
          <w:sz w:val="28"/>
          <w:szCs w:val="28"/>
        </w:rPr>
        <w:t xml:space="preserve"> сельсовета и оплаты денежных</w:t>
      </w:r>
      <w:r w:rsidR="002B6537">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обязательств, подлежащих исполнению за счет бюджетных ассигнований по источникам финансирования дефицита бюджета </w:t>
      </w:r>
      <w:proofErr w:type="spellStart"/>
      <w:r w:rsidR="00BF1FB1">
        <w:rPr>
          <w:rFonts w:ascii="Times New Roman" w:hAnsi="Times New Roman" w:cs="Times New Roman"/>
          <w:b w:val="0"/>
          <w:sz w:val="28"/>
          <w:szCs w:val="28"/>
        </w:rPr>
        <w:t>Новоберезов</w:t>
      </w:r>
      <w:r w:rsidR="00B403AF">
        <w:rPr>
          <w:rFonts w:ascii="Times New Roman" w:hAnsi="Times New Roman" w:cs="Times New Roman"/>
          <w:b w:val="0"/>
          <w:sz w:val="28"/>
          <w:szCs w:val="28"/>
        </w:rPr>
        <w:t>ского</w:t>
      </w:r>
      <w:proofErr w:type="spellEnd"/>
      <w:r w:rsidR="002B6537">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 сельсовета</w:t>
      </w:r>
    </w:p>
    <w:p w:rsidR="003C79E1" w:rsidRPr="00585181" w:rsidRDefault="003C79E1" w:rsidP="00585181">
      <w:pPr>
        <w:pStyle w:val="ConsPlusTitle"/>
        <w:rPr>
          <w:rFonts w:ascii="Times New Roman" w:hAnsi="Times New Roman" w:cs="Times New Roman"/>
          <w:b w:val="0"/>
          <w:sz w:val="28"/>
          <w:szCs w:val="28"/>
        </w:rPr>
      </w:pPr>
    </w:p>
    <w:p w:rsidR="00BF1FB1" w:rsidRDefault="00543584" w:rsidP="008F6F19">
      <w:pPr>
        <w:pStyle w:val="ConsPlusNormal"/>
        <w:ind w:firstLine="709"/>
        <w:jc w:val="both"/>
        <w:rPr>
          <w:rFonts w:ascii="Times New Roman" w:hAnsi="Times New Roman" w:cs="Times New Roman"/>
          <w:sz w:val="28"/>
          <w:szCs w:val="28"/>
        </w:rPr>
      </w:pPr>
      <w:r w:rsidRPr="00585181">
        <w:rPr>
          <w:rFonts w:ascii="Times New Roman" w:hAnsi="Times New Roman" w:cs="Times New Roman"/>
          <w:sz w:val="28"/>
          <w:szCs w:val="28"/>
        </w:rPr>
        <w:t xml:space="preserve">В соответствии с </w:t>
      </w:r>
      <w:hyperlink r:id="rId6" w:history="1">
        <w:r w:rsidRPr="00585181">
          <w:rPr>
            <w:rFonts w:ascii="Times New Roman" w:hAnsi="Times New Roman" w:cs="Times New Roman"/>
            <w:sz w:val="28"/>
            <w:szCs w:val="28"/>
          </w:rPr>
          <w:t>пунктами 1</w:t>
        </w:r>
      </w:hyperlink>
      <w:r w:rsidRPr="00585181">
        <w:rPr>
          <w:rFonts w:ascii="Times New Roman" w:hAnsi="Times New Roman" w:cs="Times New Roman"/>
          <w:sz w:val="28"/>
          <w:szCs w:val="28"/>
        </w:rPr>
        <w:t xml:space="preserve">, </w:t>
      </w:r>
      <w:hyperlink r:id="rId7" w:history="1">
        <w:r w:rsidRPr="00585181">
          <w:rPr>
            <w:rFonts w:ascii="Times New Roman" w:hAnsi="Times New Roman" w:cs="Times New Roman"/>
            <w:sz w:val="28"/>
            <w:szCs w:val="28"/>
          </w:rPr>
          <w:t>2</w:t>
        </w:r>
      </w:hyperlink>
      <w:r w:rsidRPr="00585181">
        <w:rPr>
          <w:rFonts w:ascii="Times New Roman" w:hAnsi="Times New Roman" w:cs="Times New Roman"/>
          <w:sz w:val="28"/>
          <w:szCs w:val="28"/>
        </w:rPr>
        <w:t xml:space="preserve">, </w:t>
      </w:r>
      <w:hyperlink r:id="rId8" w:history="1">
        <w:r w:rsidRPr="00585181">
          <w:rPr>
            <w:rFonts w:ascii="Times New Roman" w:hAnsi="Times New Roman" w:cs="Times New Roman"/>
            <w:sz w:val="28"/>
            <w:szCs w:val="28"/>
          </w:rPr>
          <w:t>абзацем третьим пункта 5 статьи 219</w:t>
        </w:r>
      </w:hyperlink>
      <w:r w:rsidRPr="00585181">
        <w:rPr>
          <w:rFonts w:ascii="Times New Roman" w:hAnsi="Times New Roman" w:cs="Times New Roman"/>
          <w:sz w:val="28"/>
          <w:szCs w:val="28"/>
        </w:rPr>
        <w:t xml:space="preserve"> и </w:t>
      </w:r>
      <w:hyperlink r:id="rId9" w:history="1">
        <w:r w:rsidRPr="00585181">
          <w:rPr>
            <w:rFonts w:ascii="Times New Roman" w:hAnsi="Times New Roman" w:cs="Times New Roman"/>
            <w:sz w:val="28"/>
            <w:szCs w:val="28"/>
          </w:rPr>
          <w:t>частью второй статьи 219.2</w:t>
        </w:r>
      </w:hyperlink>
      <w:r w:rsidRPr="00585181">
        <w:rPr>
          <w:rFonts w:ascii="Times New Roman" w:hAnsi="Times New Roman" w:cs="Times New Roman"/>
          <w:sz w:val="28"/>
          <w:szCs w:val="28"/>
        </w:rPr>
        <w:t xml:space="preserve"> Бюджетного кодекса Российской Федерации</w:t>
      </w:r>
      <w:r w:rsidR="003C79E1" w:rsidRPr="00585181">
        <w:rPr>
          <w:rFonts w:ascii="Times New Roman" w:hAnsi="Times New Roman" w:cs="Times New Roman"/>
          <w:sz w:val="28"/>
          <w:szCs w:val="28"/>
        </w:rPr>
        <w:t xml:space="preserve">, статьями 45,47,48 Устава </w:t>
      </w:r>
      <w:proofErr w:type="spellStart"/>
      <w:r w:rsidR="001C128E">
        <w:rPr>
          <w:rFonts w:ascii="Times New Roman" w:hAnsi="Times New Roman" w:cs="Times New Roman"/>
          <w:sz w:val="28"/>
          <w:szCs w:val="28"/>
        </w:rPr>
        <w:t>Новоберезов</w:t>
      </w:r>
      <w:r w:rsidR="002B6537">
        <w:rPr>
          <w:rFonts w:ascii="Times New Roman" w:hAnsi="Times New Roman" w:cs="Times New Roman"/>
          <w:sz w:val="28"/>
          <w:szCs w:val="28"/>
        </w:rPr>
        <w:t>ского</w:t>
      </w:r>
      <w:proofErr w:type="spellEnd"/>
      <w:r w:rsidR="003C79E1" w:rsidRPr="00585181">
        <w:rPr>
          <w:rFonts w:ascii="Times New Roman" w:hAnsi="Times New Roman" w:cs="Times New Roman"/>
          <w:sz w:val="28"/>
          <w:szCs w:val="28"/>
        </w:rPr>
        <w:t xml:space="preserve"> сельсовета</w:t>
      </w:r>
      <w:r w:rsidR="001C128E">
        <w:rPr>
          <w:rFonts w:ascii="Times New Roman" w:hAnsi="Times New Roman" w:cs="Times New Roman"/>
          <w:sz w:val="28"/>
          <w:szCs w:val="28"/>
        </w:rPr>
        <w:t xml:space="preserve"> </w:t>
      </w:r>
      <w:proofErr w:type="spellStart"/>
      <w:r w:rsidR="001C128E">
        <w:rPr>
          <w:rFonts w:ascii="Times New Roman" w:hAnsi="Times New Roman" w:cs="Times New Roman"/>
          <w:sz w:val="28"/>
          <w:szCs w:val="28"/>
        </w:rPr>
        <w:t>Идринского</w:t>
      </w:r>
      <w:proofErr w:type="spellEnd"/>
      <w:r w:rsidR="001C128E">
        <w:rPr>
          <w:rFonts w:ascii="Times New Roman" w:hAnsi="Times New Roman" w:cs="Times New Roman"/>
          <w:sz w:val="28"/>
          <w:szCs w:val="28"/>
        </w:rPr>
        <w:t xml:space="preserve"> района Красноярского края</w:t>
      </w:r>
      <w:r w:rsidR="008F6F19">
        <w:rPr>
          <w:rFonts w:ascii="Times New Roman" w:hAnsi="Times New Roman" w:cs="Times New Roman"/>
          <w:sz w:val="28"/>
          <w:szCs w:val="28"/>
        </w:rPr>
        <w:t xml:space="preserve"> </w:t>
      </w:r>
    </w:p>
    <w:p w:rsidR="001C128E" w:rsidRDefault="001C128E" w:rsidP="001C128E">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ПОСТАНОВЛЯЮ:</w:t>
      </w:r>
    </w:p>
    <w:p w:rsidR="003C79E1" w:rsidRPr="008F6F19" w:rsidRDefault="001C128E" w:rsidP="008F6F19">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1. У</w:t>
      </w:r>
      <w:r w:rsidR="00543584" w:rsidRPr="00585181">
        <w:rPr>
          <w:rFonts w:ascii="Times New Roman" w:hAnsi="Times New Roman" w:cs="Times New Roman"/>
          <w:sz w:val="28"/>
          <w:szCs w:val="28"/>
        </w:rPr>
        <w:t xml:space="preserve">твердить прилагаемый </w:t>
      </w:r>
      <w:hyperlink w:anchor="P35" w:history="1">
        <w:r w:rsidR="00543584" w:rsidRPr="00585181">
          <w:rPr>
            <w:rFonts w:ascii="Times New Roman" w:hAnsi="Times New Roman" w:cs="Times New Roman"/>
            <w:sz w:val="28"/>
            <w:szCs w:val="28"/>
          </w:rPr>
          <w:t>Порядок</w:t>
        </w:r>
      </w:hyperlink>
      <w:r w:rsidR="002B6537">
        <w:t xml:space="preserve"> </w:t>
      </w:r>
      <w:proofErr w:type="gramStart"/>
      <w:r w:rsidR="00543584" w:rsidRPr="00585181">
        <w:rPr>
          <w:rFonts w:ascii="Times New Roman" w:hAnsi="Times New Roman" w:cs="Times New Roman"/>
          <w:sz w:val="28"/>
          <w:szCs w:val="28"/>
        </w:rPr>
        <w:t>санкционирования оплаты денежных обязательств получателей средств бюджета</w:t>
      </w:r>
      <w:proofErr w:type="gramEnd"/>
      <w:r w:rsidR="00543584" w:rsidRPr="00585181">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w:t>
      </w:r>
      <w:r w:rsidR="002B6537">
        <w:rPr>
          <w:rFonts w:ascii="Times New Roman" w:hAnsi="Times New Roman" w:cs="Times New Roman"/>
          <w:sz w:val="28"/>
          <w:szCs w:val="28"/>
        </w:rPr>
        <w:t>ского</w:t>
      </w:r>
      <w:proofErr w:type="spellEnd"/>
      <w:r w:rsidR="002B6537">
        <w:rPr>
          <w:rFonts w:ascii="Times New Roman" w:hAnsi="Times New Roman" w:cs="Times New Roman"/>
          <w:sz w:val="28"/>
          <w:szCs w:val="28"/>
        </w:rPr>
        <w:t xml:space="preserve"> </w:t>
      </w:r>
      <w:r w:rsidR="00543584" w:rsidRPr="00585181">
        <w:rPr>
          <w:rFonts w:ascii="Times New Roman" w:hAnsi="Times New Roman" w:cs="Times New Roman"/>
          <w:sz w:val="28"/>
          <w:szCs w:val="28"/>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proofErr w:type="spellStart"/>
      <w:r>
        <w:rPr>
          <w:rFonts w:ascii="Times New Roman" w:hAnsi="Times New Roman" w:cs="Times New Roman"/>
          <w:sz w:val="28"/>
          <w:szCs w:val="28"/>
        </w:rPr>
        <w:t>Новоберезов</w:t>
      </w:r>
      <w:r w:rsidR="002B6537">
        <w:rPr>
          <w:rFonts w:ascii="Times New Roman" w:hAnsi="Times New Roman" w:cs="Times New Roman"/>
          <w:sz w:val="28"/>
          <w:szCs w:val="28"/>
        </w:rPr>
        <w:t>ского</w:t>
      </w:r>
      <w:proofErr w:type="spellEnd"/>
      <w:r w:rsidR="002B6537">
        <w:rPr>
          <w:rFonts w:ascii="Times New Roman" w:hAnsi="Times New Roman" w:cs="Times New Roman"/>
          <w:sz w:val="28"/>
          <w:szCs w:val="28"/>
        </w:rPr>
        <w:t xml:space="preserve"> </w:t>
      </w:r>
      <w:r w:rsidR="00543584" w:rsidRPr="00585181">
        <w:rPr>
          <w:rFonts w:ascii="Times New Roman" w:hAnsi="Times New Roman" w:cs="Times New Roman"/>
          <w:sz w:val="28"/>
          <w:szCs w:val="28"/>
        </w:rPr>
        <w:t xml:space="preserve"> сельсовета</w:t>
      </w:r>
      <w:r w:rsidR="003C79E1" w:rsidRPr="00585181">
        <w:rPr>
          <w:rFonts w:ascii="Times New Roman" w:hAnsi="Times New Roman" w:cs="Times New Roman"/>
          <w:sz w:val="28"/>
          <w:szCs w:val="28"/>
        </w:rPr>
        <w:t xml:space="preserve"> (далее - Порядок)</w:t>
      </w:r>
    </w:p>
    <w:p w:rsidR="003C79E1" w:rsidRPr="00585181" w:rsidRDefault="00C10847" w:rsidP="00C10847">
      <w:pPr>
        <w:spacing w:after="0" w:line="3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3C79E1" w:rsidRPr="00585181">
        <w:rPr>
          <w:rFonts w:ascii="Times New Roman" w:hAnsi="Times New Roman" w:cs="Times New Roman"/>
          <w:sz w:val="28"/>
          <w:szCs w:val="28"/>
        </w:rPr>
        <w:t xml:space="preserve">Признать утратившим силу </w:t>
      </w:r>
      <w:r w:rsidR="001C128E">
        <w:rPr>
          <w:rFonts w:ascii="Times New Roman" w:hAnsi="Times New Roman" w:cs="Times New Roman"/>
          <w:sz w:val="28"/>
          <w:szCs w:val="28"/>
        </w:rPr>
        <w:t>постановле</w:t>
      </w:r>
      <w:r w:rsidR="002A0349">
        <w:rPr>
          <w:rFonts w:ascii="Times New Roman" w:hAnsi="Times New Roman" w:cs="Times New Roman"/>
          <w:sz w:val="28"/>
          <w:szCs w:val="28"/>
        </w:rPr>
        <w:t xml:space="preserve">ние </w:t>
      </w:r>
      <w:r w:rsidR="003C79E1" w:rsidRPr="00585181">
        <w:rPr>
          <w:rFonts w:ascii="Times New Roman" w:hAnsi="Times New Roman" w:cs="Times New Roman"/>
          <w:sz w:val="28"/>
          <w:szCs w:val="28"/>
        </w:rPr>
        <w:t xml:space="preserve"> администрации </w:t>
      </w:r>
      <w:proofErr w:type="spellStart"/>
      <w:r w:rsidR="001C128E">
        <w:rPr>
          <w:rFonts w:ascii="Times New Roman" w:hAnsi="Times New Roman" w:cs="Times New Roman"/>
          <w:sz w:val="28"/>
          <w:szCs w:val="28"/>
        </w:rPr>
        <w:t>Новоберезов</w:t>
      </w:r>
      <w:r w:rsidR="002A0349">
        <w:rPr>
          <w:rFonts w:ascii="Times New Roman" w:hAnsi="Times New Roman" w:cs="Times New Roman"/>
          <w:sz w:val="28"/>
          <w:szCs w:val="28"/>
        </w:rPr>
        <w:t>ского</w:t>
      </w:r>
      <w:proofErr w:type="spellEnd"/>
      <w:r w:rsidR="002A0349">
        <w:rPr>
          <w:rFonts w:ascii="Times New Roman" w:hAnsi="Times New Roman" w:cs="Times New Roman"/>
          <w:sz w:val="28"/>
          <w:szCs w:val="28"/>
        </w:rPr>
        <w:t xml:space="preserve"> </w:t>
      </w:r>
      <w:r w:rsidR="003C79E1" w:rsidRPr="00585181">
        <w:rPr>
          <w:rFonts w:ascii="Times New Roman" w:hAnsi="Times New Roman" w:cs="Times New Roman"/>
          <w:sz w:val="28"/>
          <w:szCs w:val="28"/>
        </w:rPr>
        <w:t xml:space="preserve"> сельсовета от </w:t>
      </w:r>
      <w:r w:rsidR="001C128E">
        <w:rPr>
          <w:rFonts w:ascii="Times New Roman" w:hAnsi="Times New Roman" w:cs="Times New Roman"/>
          <w:sz w:val="28"/>
          <w:szCs w:val="28"/>
        </w:rPr>
        <w:t>24</w:t>
      </w:r>
      <w:r w:rsidR="003C79E1" w:rsidRPr="00585181">
        <w:rPr>
          <w:rFonts w:ascii="Times New Roman" w:hAnsi="Times New Roman" w:cs="Times New Roman"/>
          <w:sz w:val="28"/>
          <w:szCs w:val="28"/>
        </w:rPr>
        <w:t>.</w:t>
      </w:r>
      <w:r w:rsidR="00872206">
        <w:rPr>
          <w:rFonts w:ascii="Times New Roman" w:hAnsi="Times New Roman" w:cs="Times New Roman"/>
          <w:sz w:val="28"/>
          <w:szCs w:val="28"/>
        </w:rPr>
        <w:t>12</w:t>
      </w:r>
      <w:r w:rsidR="003C79E1" w:rsidRPr="00585181">
        <w:rPr>
          <w:rFonts w:ascii="Times New Roman" w:hAnsi="Times New Roman" w:cs="Times New Roman"/>
          <w:sz w:val="28"/>
          <w:szCs w:val="28"/>
        </w:rPr>
        <w:t>.2021</w:t>
      </w:r>
      <w:r w:rsidR="001C128E">
        <w:rPr>
          <w:rFonts w:ascii="Times New Roman" w:hAnsi="Times New Roman" w:cs="Times New Roman"/>
          <w:sz w:val="28"/>
          <w:szCs w:val="28"/>
        </w:rPr>
        <w:t xml:space="preserve"> </w:t>
      </w:r>
      <w:r w:rsidR="003C79E1" w:rsidRPr="00585181">
        <w:rPr>
          <w:rFonts w:ascii="Times New Roman" w:hAnsi="Times New Roman" w:cs="Times New Roman"/>
          <w:sz w:val="28"/>
          <w:szCs w:val="28"/>
        </w:rPr>
        <w:t xml:space="preserve">г. № </w:t>
      </w:r>
      <w:r w:rsidR="001C128E">
        <w:rPr>
          <w:rFonts w:ascii="Times New Roman" w:hAnsi="Times New Roman" w:cs="Times New Roman"/>
          <w:sz w:val="28"/>
          <w:szCs w:val="28"/>
        </w:rPr>
        <w:t>40-п</w:t>
      </w:r>
      <w:r w:rsidR="003C79E1" w:rsidRPr="00585181">
        <w:rPr>
          <w:rFonts w:ascii="Times New Roman" w:hAnsi="Times New Roman" w:cs="Times New Roman"/>
          <w:sz w:val="28"/>
          <w:szCs w:val="28"/>
        </w:rPr>
        <w:t xml:space="preserve"> «</w:t>
      </w:r>
      <w:r w:rsidR="00543584" w:rsidRPr="00585181">
        <w:rPr>
          <w:rFonts w:ascii="Times New Roman" w:hAnsi="Times New Roman" w:cs="Times New Roman"/>
          <w:sz w:val="28"/>
          <w:szCs w:val="28"/>
        </w:rPr>
        <w:t>О</w:t>
      </w:r>
      <w:r w:rsidR="001C128E">
        <w:rPr>
          <w:rFonts w:ascii="Times New Roman" w:hAnsi="Times New Roman" w:cs="Times New Roman"/>
          <w:sz w:val="28"/>
          <w:szCs w:val="28"/>
        </w:rPr>
        <w:t>б утверждении</w:t>
      </w:r>
      <w:r w:rsidR="00543584" w:rsidRPr="00585181">
        <w:rPr>
          <w:rFonts w:ascii="Times New Roman" w:hAnsi="Times New Roman" w:cs="Times New Roman"/>
          <w:sz w:val="28"/>
          <w:szCs w:val="28"/>
        </w:rPr>
        <w:t xml:space="preserve"> </w:t>
      </w:r>
      <w:proofErr w:type="gramStart"/>
      <w:r w:rsidR="001C128E">
        <w:rPr>
          <w:rFonts w:ascii="Times New Roman" w:hAnsi="Times New Roman" w:cs="Times New Roman"/>
          <w:sz w:val="28"/>
          <w:szCs w:val="28"/>
        </w:rPr>
        <w:t>Порядк</w:t>
      </w:r>
      <w:hyperlink r:id="rId10" w:anchor="dst100041" w:history="1">
        <w:r w:rsidR="001C128E">
          <w:rPr>
            <w:rFonts w:ascii="Times New Roman" w:hAnsi="Times New Roman" w:cs="Times New Roman"/>
            <w:sz w:val="28"/>
            <w:szCs w:val="28"/>
          </w:rPr>
          <w:t>а</w:t>
        </w:r>
        <w:proofErr w:type="gramEnd"/>
      </w:hyperlink>
      <w:r w:rsidR="002B6537">
        <w:t xml:space="preserve"> </w:t>
      </w:r>
      <w:r w:rsidR="00543584" w:rsidRPr="00585181">
        <w:rPr>
          <w:rFonts w:ascii="Times New Roman" w:hAnsi="Times New Roman" w:cs="Times New Roman"/>
          <w:bCs/>
          <w:sz w:val="28"/>
          <w:szCs w:val="28"/>
        </w:rPr>
        <w:t>санкционирования оплаты денежных обязатель</w:t>
      </w:r>
      <w:r w:rsidR="001C128E">
        <w:rPr>
          <w:rFonts w:ascii="Times New Roman" w:hAnsi="Times New Roman" w:cs="Times New Roman"/>
          <w:bCs/>
          <w:sz w:val="28"/>
          <w:szCs w:val="28"/>
        </w:rPr>
        <w:t xml:space="preserve">ств получателей средств </w:t>
      </w:r>
      <w:r w:rsidR="00543584" w:rsidRPr="00585181">
        <w:rPr>
          <w:rFonts w:ascii="Times New Roman" w:hAnsi="Times New Roman" w:cs="Times New Roman"/>
          <w:bCs/>
          <w:sz w:val="28"/>
          <w:szCs w:val="28"/>
        </w:rPr>
        <w:t xml:space="preserve"> бюджета </w:t>
      </w:r>
      <w:proofErr w:type="spellStart"/>
      <w:r w:rsidR="001C128E">
        <w:rPr>
          <w:rFonts w:ascii="Times New Roman" w:hAnsi="Times New Roman" w:cs="Times New Roman"/>
          <w:bCs/>
          <w:sz w:val="28"/>
          <w:szCs w:val="28"/>
        </w:rPr>
        <w:t>Новоберезовского</w:t>
      </w:r>
      <w:proofErr w:type="spellEnd"/>
      <w:r w:rsidR="001C128E">
        <w:rPr>
          <w:rFonts w:ascii="Times New Roman" w:hAnsi="Times New Roman" w:cs="Times New Roman"/>
          <w:bCs/>
          <w:sz w:val="28"/>
          <w:szCs w:val="28"/>
        </w:rPr>
        <w:t xml:space="preserve"> сельсовета </w:t>
      </w:r>
      <w:r w:rsidR="00543584" w:rsidRPr="00585181">
        <w:rPr>
          <w:rFonts w:ascii="Times New Roman" w:hAnsi="Times New Roman" w:cs="Times New Roman"/>
          <w:bCs/>
          <w:sz w:val="28"/>
          <w:szCs w:val="28"/>
        </w:rPr>
        <w:t xml:space="preserve">и </w:t>
      </w:r>
      <w:r w:rsidR="001C128E">
        <w:rPr>
          <w:rFonts w:ascii="Times New Roman" w:hAnsi="Times New Roman" w:cs="Times New Roman"/>
          <w:bCs/>
          <w:sz w:val="28"/>
          <w:szCs w:val="28"/>
        </w:rPr>
        <w:t>оплаты денежных обязательств, подлежащих исполнению за счет бюджетных ассигнований по источникам</w:t>
      </w:r>
      <w:r w:rsidR="00543584" w:rsidRPr="00585181">
        <w:rPr>
          <w:rFonts w:ascii="Times New Roman" w:hAnsi="Times New Roman" w:cs="Times New Roman"/>
          <w:bCs/>
          <w:sz w:val="28"/>
          <w:szCs w:val="28"/>
        </w:rPr>
        <w:t xml:space="preserve"> </w:t>
      </w:r>
      <w:r w:rsidR="001C128E">
        <w:rPr>
          <w:rFonts w:ascii="Times New Roman" w:hAnsi="Times New Roman" w:cs="Times New Roman"/>
          <w:bCs/>
          <w:sz w:val="28"/>
          <w:szCs w:val="28"/>
        </w:rPr>
        <w:t xml:space="preserve">финансирования дефицита </w:t>
      </w:r>
      <w:r w:rsidR="00543584" w:rsidRPr="00585181">
        <w:rPr>
          <w:rFonts w:ascii="Times New Roman" w:hAnsi="Times New Roman" w:cs="Times New Roman"/>
          <w:bCs/>
          <w:sz w:val="28"/>
          <w:szCs w:val="28"/>
        </w:rPr>
        <w:t xml:space="preserve"> бюджета</w:t>
      </w:r>
      <w:r w:rsidR="001C128E">
        <w:rPr>
          <w:rFonts w:ascii="Times New Roman" w:hAnsi="Times New Roman" w:cs="Times New Roman"/>
          <w:bCs/>
          <w:sz w:val="28"/>
          <w:szCs w:val="28"/>
        </w:rPr>
        <w:t xml:space="preserve"> </w:t>
      </w:r>
      <w:proofErr w:type="spellStart"/>
      <w:r w:rsidR="001C128E">
        <w:rPr>
          <w:rFonts w:ascii="Times New Roman" w:hAnsi="Times New Roman" w:cs="Times New Roman"/>
          <w:bCs/>
          <w:sz w:val="28"/>
          <w:szCs w:val="28"/>
        </w:rPr>
        <w:t>Новоберезовского</w:t>
      </w:r>
      <w:proofErr w:type="spellEnd"/>
      <w:r w:rsidR="001C128E">
        <w:rPr>
          <w:rFonts w:ascii="Times New Roman" w:hAnsi="Times New Roman" w:cs="Times New Roman"/>
          <w:bCs/>
          <w:sz w:val="28"/>
          <w:szCs w:val="28"/>
        </w:rPr>
        <w:t xml:space="preserve"> сельсовета</w:t>
      </w:r>
      <w:r w:rsidR="003C79E1" w:rsidRPr="00585181">
        <w:rPr>
          <w:rFonts w:ascii="Times New Roman" w:hAnsi="Times New Roman" w:cs="Times New Roman"/>
          <w:bCs/>
          <w:sz w:val="28"/>
          <w:szCs w:val="28"/>
        </w:rPr>
        <w:t>»</w:t>
      </w:r>
    </w:p>
    <w:p w:rsidR="003C79E1" w:rsidRPr="00585181" w:rsidRDefault="00C10847"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3. </w:t>
      </w:r>
      <w:proofErr w:type="gramStart"/>
      <w:r w:rsidR="003C79E1" w:rsidRPr="00585181">
        <w:rPr>
          <w:rFonts w:ascii="Times New Roman" w:hAnsi="Times New Roman" w:cs="Times New Roman"/>
          <w:b w:val="0"/>
          <w:sz w:val="28"/>
          <w:szCs w:val="28"/>
        </w:rPr>
        <w:t>Контроль за</w:t>
      </w:r>
      <w:proofErr w:type="gramEnd"/>
      <w:r w:rsidR="003C79E1" w:rsidRPr="00585181">
        <w:rPr>
          <w:rFonts w:ascii="Times New Roman" w:hAnsi="Times New Roman" w:cs="Times New Roman"/>
          <w:b w:val="0"/>
          <w:sz w:val="28"/>
          <w:szCs w:val="28"/>
        </w:rPr>
        <w:t xml:space="preserve"> выполнением постановления оставляю за собой.</w:t>
      </w:r>
    </w:p>
    <w:p w:rsidR="00B87EC7" w:rsidRDefault="00B87EC7" w:rsidP="00B87EC7">
      <w:pPr>
        <w:spacing w:after="0" w:line="240" w:lineRule="auto"/>
        <w:jc w:val="both"/>
        <w:rPr>
          <w:rFonts w:ascii="Times New Roman" w:hAnsi="Times New Roman"/>
          <w:sz w:val="28"/>
          <w:szCs w:val="28"/>
        </w:rPr>
      </w:pPr>
      <w:r>
        <w:rPr>
          <w:rFonts w:ascii="Times New Roman" w:hAnsi="Times New Roman" w:cs="Times New Roman"/>
          <w:sz w:val="28"/>
          <w:szCs w:val="28"/>
        </w:rPr>
        <w:t xml:space="preserve">         </w:t>
      </w:r>
      <w:r w:rsidR="00C10847">
        <w:rPr>
          <w:rFonts w:ascii="Times New Roman" w:hAnsi="Times New Roman" w:cs="Times New Roman"/>
          <w:sz w:val="28"/>
          <w:szCs w:val="28"/>
        </w:rPr>
        <w:t xml:space="preserve">4. </w:t>
      </w:r>
      <w:r>
        <w:rPr>
          <w:rFonts w:ascii="Times New Roman" w:hAnsi="Times New Roman"/>
          <w:sz w:val="28"/>
          <w:szCs w:val="28"/>
        </w:rPr>
        <w:t xml:space="preserve">Опубликовать постановление на официальном сайте муниципального образования </w:t>
      </w:r>
      <w:proofErr w:type="spellStart"/>
      <w:r>
        <w:rPr>
          <w:rFonts w:ascii="Times New Roman" w:hAnsi="Times New Roman"/>
          <w:sz w:val="28"/>
          <w:szCs w:val="28"/>
        </w:rPr>
        <w:t>Идринский</w:t>
      </w:r>
      <w:proofErr w:type="spellEnd"/>
      <w:r>
        <w:rPr>
          <w:rFonts w:ascii="Times New Roman" w:hAnsi="Times New Roman"/>
          <w:sz w:val="28"/>
          <w:szCs w:val="28"/>
        </w:rPr>
        <w:t xml:space="preserve"> район (</w:t>
      </w:r>
      <w:hyperlink r:id="rId11" w:history="1">
        <w:r>
          <w:rPr>
            <w:rStyle w:val="a3"/>
            <w:sz w:val="28"/>
            <w:szCs w:val="28"/>
            <w:lang w:val="en-US"/>
          </w:rPr>
          <w:t>www</w:t>
        </w:r>
        <w:r>
          <w:rPr>
            <w:rStyle w:val="a3"/>
            <w:sz w:val="28"/>
            <w:szCs w:val="28"/>
          </w:rPr>
          <w:t>.</w:t>
        </w:r>
        <w:proofErr w:type="spellStart"/>
        <w:r>
          <w:rPr>
            <w:rStyle w:val="a3"/>
            <w:sz w:val="28"/>
            <w:szCs w:val="28"/>
            <w:lang w:val="en-US"/>
          </w:rPr>
          <w:t>idra</w:t>
        </w:r>
        <w:proofErr w:type="spellEnd"/>
        <w:r>
          <w:rPr>
            <w:rStyle w:val="a3"/>
            <w:sz w:val="28"/>
            <w:szCs w:val="28"/>
          </w:rPr>
          <w:t>-</w:t>
        </w:r>
        <w:proofErr w:type="spellStart"/>
        <w:r>
          <w:rPr>
            <w:rStyle w:val="a3"/>
            <w:sz w:val="28"/>
            <w:szCs w:val="28"/>
          </w:rPr>
          <w:t>rayon</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bCs/>
          <w:sz w:val="28"/>
          <w:szCs w:val="28"/>
        </w:rPr>
        <w:t>)</w:t>
      </w:r>
      <w:r>
        <w:rPr>
          <w:rFonts w:ascii="Times New Roman" w:hAnsi="Times New Roman"/>
          <w:sz w:val="28"/>
          <w:szCs w:val="28"/>
        </w:rPr>
        <w:t xml:space="preserve"> в разделе сельские поселения/</w:t>
      </w:r>
      <w:proofErr w:type="spellStart"/>
      <w:r>
        <w:rPr>
          <w:rFonts w:ascii="Times New Roman" w:hAnsi="Times New Roman"/>
          <w:sz w:val="28"/>
          <w:szCs w:val="28"/>
        </w:rPr>
        <w:t>Новоберезовский</w:t>
      </w:r>
      <w:proofErr w:type="spellEnd"/>
      <w:r>
        <w:rPr>
          <w:rFonts w:ascii="Times New Roman" w:hAnsi="Times New Roman"/>
          <w:sz w:val="28"/>
          <w:szCs w:val="28"/>
        </w:rPr>
        <w:t xml:space="preserve"> сельсовет.</w:t>
      </w:r>
    </w:p>
    <w:p w:rsidR="00B87EC7" w:rsidRDefault="00B87EC7" w:rsidP="00B87EC7">
      <w:pPr>
        <w:spacing w:after="0" w:line="240" w:lineRule="auto"/>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 4. Постановление вступает в силу со дня, следующего за днем его официального опубликования (обнародования) и распространяется на </w:t>
      </w:r>
      <w:proofErr w:type="gramStart"/>
      <w:r>
        <w:rPr>
          <w:rFonts w:ascii="Times New Roman" w:hAnsi="Times New Roman" w:cs="Times New Roman"/>
          <w:sz w:val="28"/>
          <w:szCs w:val="28"/>
        </w:rPr>
        <w:t>правоотношения</w:t>
      </w:r>
      <w:proofErr w:type="gramEnd"/>
      <w:r>
        <w:rPr>
          <w:rFonts w:ascii="Times New Roman" w:hAnsi="Times New Roman" w:cs="Times New Roman"/>
          <w:sz w:val="28"/>
          <w:szCs w:val="28"/>
        </w:rPr>
        <w:t xml:space="preserve"> возникшие с 01.01.2024 года</w:t>
      </w:r>
    </w:p>
    <w:p w:rsidR="003C79E1" w:rsidRDefault="003C79E1" w:rsidP="00585181">
      <w:pPr>
        <w:spacing w:after="0" w:line="240" w:lineRule="auto"/>
        <w:ind w:firstLine="709"/>
        <w:rPr>
          <w:rFonts w:ascii="Times New Roman" w:hAnsi="Times New Roman" w:cs="Times New Roman"/>
          <w:spacing w:val="-2"/>
          <w:sz w:val="28"/>
          <w:szCs w:val="28"/>
        </w:rPr>
      </w:pPr>
    </w:p>
    <w:p w:rsidR="00B87EC7" w:rsidRPr="00585181" w:rsidRDefault="00B87EC7" w:rsidP="00585181">
      <w:pPr>
        <w:spacing w:after="0" w:line="240" w:lineRule="auto"/>
        <w:ind w:firstLine="709"/>
        <w:rPr>
          <w:rFonts w:ascii="Times New Roman" w:hAnsi="Times New Roman" w:cs="Times New Roman"/>
          <w:sz w:val="28"/>
          <w:szCs w:val="28"/>
        </w:rPr>
      </w:pPr>
    </w:p>
    <w:p w:rsidR="003C79E1" w:rsidRPr="00585181" w:rsidRDefault="003C79E1" w:rsidP="00A9454E">
      <w:pPr>
        <w:pStyle w:val="a4"/>
        <w:rPr>
          <w:rFonts w:ascii="Times New Roman" w:hAnsi="Times New Roman"/>
          <w:sz w:val="28"/>
          <w:szCs w:val="28"/>
        </w:rPr>
      </w:pPr>
    </w:p>
    <w:p w:rsidR="003C79E1" w:rsidRPr="00585181" w:rsidRDefault="003C79E1" w:rsidP="00585181">
      <w:pPr>
        <w:pStyle w:val="a4"/>
        <w:ind w:firstLine="709"/>
        <w:rPr>
          <w:rFonts w:ascii="Times New Roman" w:hAnsi="Times New Roman"/>
          <w:sz w:val="28"/>
          <w:szCs w:val="28"/>
        </w:rPr>
      </w:pPr>
    </w:p>
    <w:p w:rsidR="003C79E1" w:rsidRPr="00585181" w:rsidRDefault="003C79E1" w:rsidP="00585181">
      <w:pPr>
        <w:pStyle w:val="a4"/>
        <w:rPr>
          <w:rFonts w:ascii="Times New Roman" w:hAnsi="Times New Roman"/>
          <w:sz w:val="28"/>
          <w:szCs w:val="28"/>
        </w:rPr>
      </w:pPr>
      <w:r w:rsidRPr="00585181">
        <w:rPr>
          <w:rFonts w:ascii="Times New Roman" w:hAnsi="Times New Roman"/>
          <w:sz w:val="28"/>
          <w:szCs w:val="28"/>
        </w:rPr>
        <w:t>Глава</w:t>
      </w:r>
      <w:r w:rsidR="00894521">
        <w:rPr>
          <w:rFonts w:ascii="Times New Roman" w:hAnsi="Times New Roman"/>
          <w:sz w:val="28"/>
          <w:szCs w:val="28"/>
        </w:rPr>
        <w:t xml:space="preserve"> </w:t>
      </w:r>
      <w:r w:rsidRPr="00585181">
        <w:rPr>
          <w:rFonts w:ascii="Times New Roman" w:hAnsi="Times New Roman"/>
          <w:sz w:val="28"/>
          <w:szCs w:val="28"/>
        </w:rPr>
        <w:t xml:space="preserve"> сельсовета                                     </w:t>
      </w:r>
      <w:r w:rsidR="00894521">
        <w:rPr>
          <w:rFonts w:ascii="Times New Roman" w:hAnsi="Times New Roman"/>
          <w:sz w:val="28"/>
          <w:szCs w:val="28"/>
        </w:rPr>
        <w:t xml:space="preserve">                </w:t>
      </w:r>
      <w:r w:rsidR="00971C7D">
        <w:rPr>
          <w:rFonts w:ascii="Times New Roman" w:hAnsi="Times New Roman"/>
          <w:sz w:val="28"/>
          <w:szCs w:val="28"/>
        </w:rPr>
        <w:t xml:space="preserve">           А.М. </w:t>
      </w:r>
      <w:proofErr w:type="spellStart"/>
      <w:r w:rsidR="00971C7D">
        <w:rPr>
          <w:rFonts w:ascii="Times New Roman" w:hAnsi="Times New Roman"/>
          <w:sz w:val="28"/>
          <w:szCs w:val="28"/>
        </w:rPr>
        <w:t>Трунилин</w:t>
      </w:r>
      <w:proofErr w:type="spellEnd"/>
    </w:p>
    <w:p w:rsidR="003C79E1" w:rsidRPr="00585181" w:rsidRDefault="003C79E1" w:rsidP="00585181">
      <w:pPr>
        <w:widowControl w:val="0"/>
        <w:autoSpaceDE w:val="0"/>
        <w:autoSpaceDN w:val="0"/>
        <w:adjustRightInd w:val="0"/>
        <w:spacing w:after="0"/>
        <w:ind w:firstLine="567"/>
        <w:jc w:val="both"/>
        <w:rPr>
          <w:rFonts w:ascii="Times New Roman" w:hAnsi="Times New Roman" w:cs="Times New Roman"/>
          <w:sz w:val="28"/>
          <w:szCs w:val="28"/>
        </w:rPr>
      </w:pPr>
    </w:p>
    <w:p w:rsidR="007B7B97" w:rsidRPr="00585181" w:rsidRDefault="007B7B97" w:rsidP="00585181">
      <w:pPr>
        <w:spacing w:after="0"/>
        <w:rPr>
          <w:rFonts w:ascii="Times New Roman" w:eastAsia="Times New Roman" w:hAnsi="Times New Roman" w:cs="Times New Roman"/>
          <w:sz w:val="2"/>
          <w:szCs w:val="2"/>
          <w:lang w:eastAsia="ru-RU"/>
        </w:rPr>
      </w:pPr>
      <w:r w:rsidRPr="00585181">
        <w:rPr>
          <w:rFonts w:ascii="Times New Roman" w:hAnsi="Times New Roman" w:cs="Times New Roman"/>
          <w:sz w:val="2"/>
          <w:szCs w:val="2"/>
        </w:rPr>
        <w:br w:type="page"/>
      </w:r>
    </w:p>
    <w:p w:rsidR="00543584" w:rsidRPr="00543584" w:rsidRDefault="00543584" w:rsidP="00585181">
      <w:pPr>
        <w:spacing w:after="0" w:line="240" w:lineRule="auto"/>
        <w:jc w:val="right"/>
        <w:rPr>
          <w:rFonts w:ascii="Times New Roman" w:eastAsia="Times New Roman" w:hAnsi="Times New Roman" w:cs="Times New Roman"/>
          <w:sz w:val="24"/>
          <w:szCs w:val="24"/>
          <w:lang w:eastAsia="ru-RU"/>
        </w:rPr>
      </w:pPr>
      <w:r w:rsidRPr="00543584">
        <w:rPr>
          <w:rFonts w:ascii="Times New Roman" w:eastAsia="Times New Roman" w:hAnsi="Times New Roman" w:cs="Times New Roman"/>
          <w:sz w:val="24"/>
          <w:szCs w:val="24"/>
          <w:lang w:eastAsia="ru-RU"/>
        </w:rPr>
        <w:lastRenderedPageBreak/>
        <w:t xml:space="preserve">Приложение </w:t>
      </w:r>
    </w:p>
    <w:p w:rsidR="00543584" w:rsidRPr="00543584" w:rsidRDefault="002C578F" w:rsidP="0058518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543584" w:rsidRPr="00543584">
        <w:rPr>
          <w:rFonts w:ascii="Times New Roman" w:eastAsia="Times New Roman" w:hAnsi="Times New Roman" w:cs="Times New Roman"/>
          <w:sz w:val="24"/>
          <w:szCs w:val="24"/>
          <w:lang w:eastAsia="ru-RU"/>
        </w:rPr>
        <w:t xml:space="preserve"> </w:t>
      </w:r>
      <w:r w:rsidR="00971C7D">
        <w:rPr>
          <w:rFonts w:ascii="Times New Roman" w:eastAsia="Times New Roman" w:hAnsi="Times New Roman" w:cs="Times New Roman"/>
          <w:sz w:val="24"/>
          <w:szCs w:val="24"/>
          <w:lang w:eastAsia="ru-RU"/>
        </w:rPr>
        <w:t>постановл</w:t>
      </w:r>
      <w:r>
        <w:rPr>
          <w:rFonts w:ascii="Times New Roman" w:eastAsia="Times New Roman" w:hAnsi="Times New Roman" w:cs="Times New Roman"/>
          <w:sz w:val="24"/>
          <w:szCs w:val="24"/>
          <w:lang w:eastAsia="ru-RU"/>
        </w:rPr>
        <w:t>ению</w:t>
      </w:r>
      <w:r w:rsidR="00543584" w:rsidRPr="00543584">
        <w:rPr>
          <w:rFonts w:ascii="Times New Roman" w:eastAsia="Times New Roman" w:hAnsi="Times New Roman" w:cs="Times New Roman"/>
          <w:sz w:val="24"/>
          <w:szCs w:val="24"/>
          <w:lang w:eastAsia="ru-RU"/>
        </w:rPr>
        <w:t xml:space="preserve"> администрации </w:t>
      </w:r>
    </w:p>
    <w:p w:rsidR="00543584" w:rsidRPr="00543584" w:rsidRDefault="00971C7D" w:rsidP="00585181">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Новоберезов</w:t>
      </w:r>
      <w:r w:rsidR="00894521">
        <w:rPr>
          <w:rFonts w:ascii="Times New Roman" w:eastAsia="Times New Roman" w:hAnsi="Times New Roman" w:cs="Times New Roman"/>
          <w:sz w:val="24"/>
          <w:szCs w:val="24"/>
          <w:lang w:eastAsia="ru-RU"/>
        </w:rPr>
        <w:t>ского</w:t>
      </w:r>
      <w:proofErr w:type="spellEnd"/>
      <w:r w:rsidR="00894521">
        <w:rPr>
          <w:rFonts w:ascii="Times New Roman" w:eastAsia="Times New Roman" w:hAnsi="Times New Roman" w:cs="Times New Roman"/>
          <w:sz w:val="24"/>
          <w:szCs w:val="24"/>
          <w:lang w:eastAsia="ru-RU"/>
        </w:rPr>
        <w:t xml:space="preserve"> </w:t>
      </w:r>
      <w:r w:rsidR="00543584" w:rsidRPr="00543584">
        <w:rPr>
          <w:rFonts w:ascii="Times New Roman" w:eastAsia="Times New Roman" w:hAnsi="Times New Roman" w:cs="Times New Roman"/>
          <w:sz w:val="24"/>
          <w:szCs w:val="24"/>
          <w:lang w:eastAsia="ru-RU"/>
        </w:rPr>
        <w:t xml:space="preserve"> сельсовета </w:t>
      </w:r>
    </w:p>
    <w:p w:rsidR="00543584" w:rsidRPr="00543584" w:rsidRDefault="00543584" w:rsidP="00585181">
      <w:pPr>
        <w:spacing w:after="0" w:line="240" w:lineRule="auto"/>
        <w:jc w:val="right"/>
        <w:rPr>
          <w:rFonts w:ascii="Times New Roman" w:eastAsia="Times New Roman" w:hAnsi="Times New Roman" w:cs="Times New Roman"/>
          <w:sz w:val="24"/>
          <w:szCs w:val="24"/>
          <w:lang w:eastAsia="ru-RU"/>
        </w:rPr>
      </w:pPr>
      <w:r w:rsidRPr="00543584">
        <w:rPr>
          <w:rFonts w:ascii="Times New Roman" w:eastAsia="Times New Roman" w:hAnsi="Times New Roman" w:cs="Times New Roman"/>
          <w:sz w:val="24"/>
          <w:szCs w:val="24"/>
          <w:lang w:eastAsia="ru-RU"/>
        </w:rPr>
        <w:t xml:space="preserve">от </w:t>
      </w:r>
      <w:r w:rsidR="00971C7D">
        <w:rPr>
          <w:rFonts w:ascii="Times New Roman" w:eastAsia="Times New Roman" w:hAnsi="Times New Roman" w:cs="Times New Roman"/>
          <w:sz w:val="24"/>
          <w:szCs w:val="24"/>
          <w:lang w:eastAsia="ru-RU"/>
        </w:rPr>
        <w:t>05</w:t>
      </w:r>
      <w:r w:rsidRPr="00543584">
        <w:rPr>
          <w:rFonts w:ascii="Times New Roman" w:eastAsia="Times New Roman" w:hAnsi="Times New Roman" w:cs="Times New Roman"/>
          <w:sz w:val="24"/>
          <w:szCs w:val="24"/>
          <w:lang w:eastAsia="ru-RU"/>
        </w:rPr>
        <w:t>.</w:t>
      </w:r>
      <w:r w:rsidR="00971C7D">
        <w:rPr>
          <w:rFonts w:ascii="Times New Roman" w:eastAsia="Times New Roman" w:hAnsi="Times New Roman" w:cs="Times New Roman"/>
          <w:sz w:val="24"/>
          <w:szCs w:val="24"/>
          <w:lang w:eastAsia="ru-RU"/>
        </w:rPr>
        <w:t>02.2024</w:t>
      </w:r>
      <w:r w:rsidRPr="00543584">
        <w:rPr>
          <w:rFonts w:ascii="Times New Roman" w:eastAsia="Times New Roman" w:hAnsi="Times New Roman" w:cs="Times New Roman"/>
          <w:sz w:val="24"/>
          <w:szCs w:val="24"/>
          <w:lang w:eastAsia="ru-RU"/>
        </w:rPr>
        <w:t xml:space="preserve"> г. № </w:t>
      </w:r>
      <w:r w:rsidR="00971C7D">
        <w:rPr>
          <w:rFonts w:ascii="Times New Roman" w:eastAsia="Times New Roman" w:hAnsi="Times New Roman" w:cs="Times New Roman"/>
          <w:sz w:val="24"/>
          <w:szCs w:val="24"/>
          <w:lang w:eastAsia="ru-RU"/>
        </w:rPr>
        <w:t>8</w:t>
      </w:r>
      <w:r w:rsidRPr="00543584">
        <w:rPr>
          <w:rFonts w:ascii="Times New Roman" w:eastAsia="Times New Roman" w:hAnsi="Times New Roman" w:cs="Times New Roman"/>
          <w:sz w:val="24"/>
          <w:szCs w:val="24"/>
          <w:lang w:eastAsia="ru-RU"/>
        </w:rPr>
        <w:t>-п</w:t>
      </w:r>
    </w:p>
    <w:p w:rsidR="00E86221" w:rsidRPr="00585181" w:rsidRDefault="00E86221" w:rsidP="00585181">
      <w:pPr>
        <w:pStyle w:val="ConsPlusNormal"/>
        <w:jc w:val="both"/>
        <w:rPr>
          <w:rFonts w:ascii="Times New Roman" w:hAnsi="Times New Roman" w:cs="Times New Roman"/>
          <w:sz w:val="24"/>
          <w:szCs w:val="24"/>
        </w:rPr>
      </w:pPr>
    </w:p>
    <w:p w:rsidR="00E86221" w:rsidRPr="00585181" w:rsidRDefault="00E86221" w:rsidP="00585181">
      <w:pPr>
        <w:pStyle w:val="ConsPlusTitle"/>
        <w:jc w:val="center"/>
        <w:rPr>
          <w:rFonts w:ascii="Times New Roman" w:hAnsi="Times New Roman" w:cs="Times New Roman"/>
          <w:sz w:val="24"/>
          <w:szCs w:val="24"/>
        </w:rPr>
      </w:pPr>
      <w:bookmarkStart w:id="0" w:name="P35"/>
      <w:bookmarkEnd w:id="0"/>
      <w:r w:rsidRPr="00585181">
        <w:rPr>
          <w:rFonts w:ascii="Times New Roman" w:hAnsi="Times New Roman" w:cs="Times New Roman"/>
          <w:sz w:val="24"/>
          <w:szCs w:val="24"/>
        </w:rPr>
        <w:t>ПОРЯДОК</w:t>
      </w:r>
    </w:p>
    <w:p w:rsidR="00E86221" w:rsidRPr="00585181" w:rsidRDefault="00E86221"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САНКЦИОНИРОВАНИЯ ОПЛАТЫ ДЕНЕЖНЫХ ОБЯЗАТЕЛЬСТВ</w:t>
      </w:r>
    </w:p>
    <w:p w:rsidR="00E86221" w:rsidRPr="00585181" w:rsidRDefault="00E86221"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 xml:space="preserve">ПОЛУЧАТЕЛЕЙ СРЕДСТВ </w:t>
      </w:r>
      <w:r w:rsidR="00D774DA" w:rsidRPr="00585181">
        <w:rPr>
          <w:rFonts w:ascii="Times New Roman" w:hAnsi="Times New Roman" w:cs="Times New Roman"/>
          <w:sz w:val="24"/>
          <w:szCs w:val="24"/>
        </w:rPr>
        <w:t xml:space="preserve">БЮДЖЕТА </w:t>
      </w:r>
      <w:r w:rsidR="00971C7D">
        <w:rPr>
          <w:rFonts w:ascii="Times New Roman" w:hAnsi="Times New Roman" w:cs="Times New Roman"/>
          <w:sz w:val="24"/>
          <w:szCs w:val="24"/>
        </w:rPr>
        <w:t>НОВОБЕРЕЗОВ</w:t>
      </w:r>
      <w:r w:rsidR="00405863">
        <w:rPr>
          <w:rFonts w:ascii="Times New Roman" w:hAnsi="Times New Roman" w:cs="Times New Roman"/>
          <w:sz w:val="24"/>
          <w:szCs w:val="24"/>
        </w:rPr>
        <w:t>СКОГО</w:t>
      </w:r>
      <w:r w:rsidR="00D774DA" w:rsidRPr="00585181">
        <w:rPr>
          <w:rFonts w:ascii="Times New Roman" w:hAnsi="Times New Roman" w:cs="Times New Roman"/>
          <w:sz w:val="24"/>
          <w:szCs w:val="24"/>
        </w:rPr>
        <w:t xml:space="preserve"> СЕЛЬСОВЕТА</w:t>
      </w:r>
      <w:r w:rsidRPr="00585181">
        <w:rPr>
          <w:rFonts w:ascii="Times New Roman" w:hAnsi="Times New Roman" w:cs="Times New Roman"/>
          <w:sz w:val="24"/>
          <w:szCs w:val="24"/>
        </w:rPr>
        <w:t xml:space="preserve"> И ОПЛАТЫ ДЕНЕЖНЫХОБЯЗАТЕЛЬСТВ, ПОДЛЕЖАЩИХ ИСПОЛНЕНИЮ ЗА СЧЕТ БЮДЖЕТНЫХАССИГНОВАНИЙ ПО ИСТОЧНИКАМ ФИНАНСИРОВАНИЯ ДЕФИЦИТА</w:t>
      </w:r>
      <w:r w:rsidR="00D774DA" w:rsidRPr="00585181">
        <w:rPr>
          <w:rFonts w:ascii="Times New Roman" w:hAnsi="Times New Roman" w:cs="Times New Roman"/>
          <w:sz w:val="24"/>
          <w:szCs w:val="24"/>
        </w:rPr>
        <w:t xml:space="preserve">БЮДЖЕТА </w:t>
      </w:r>
      <w:r w:rsidR="00971C7D">
        <w:rPr>
          <w:rFonts w:ascii="Times New Roman" w:hAnsi="Times New Roman" w:cs="Times New Roman"/>
          <w:sz w:val="24"/>
          <w:szCs w:val="24"/>
        </w:rPr>
        <w:t>НОВОБЕРЕЗОВ</w:t>
      </w:r>
      <w:r w:rsidR="00894521">
        <w:rPr>
          <w:rFonts w:ascii="Times New Roman" w:hAnsi="Times New Roman" w:cs="Times New Roman"/>
          <w:sz w:val="24"/>
          <w:szCs w:val="24"/>
        </w:rPr>
        <w:t xml:space="preserve">СКОГО </w:t>
      </w:r>
      <w:r w:rsidR="00D774DA" w:rsidRPr="00585181">
        <w:rPr>
          <w:rFonts w:ascii="Times New Roman" w:hAnsi="Times New Roman" w:cs="Times New Roman"/>
          <w:sz w:val="24"/>
          <w:szCs w:val="24"/>
        </w:rPr>
        <w:t xml:space="preserve"> СЕЛЬСОВЕТА</w:t>
      </w:r>
    </w:p>
    <w:p w:rsidR="00E86221" w:rsidRPr="00585181" w:rsidRDefault="00E86221" w:rsidP="00585181">
      <w:pPr>
        <w:pStyle w:val="ConsPlusNormal"/>
        <w:jc w:val="both"/>
        <w:rPr>
          <w:rFonts w:ascii="Times New Roman" w:hAnsi="Times New Roman" w:cs="Times New Roman"/>
          <w:sz w:val="24"/>
          <w:szCs w:val="24"/>
        </w:rPr>
      </w:pP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 Настоящий Порядок устанавливает порядок санкционирования территориальными органами Федерального казначейства (далее - органы Федерального казначейства) оплаты за счет </w:t>
      </w:r>
      <w:proofErr w:type="gramStart"/>
      <w:r w:rsidRPr="00971C7D">
        <w:rPr>
          <w:rFonts w:ascii="Times New Roman" w:hAnsi="Times New Roman" w:cs="Times New Roman"/>
          <w:sz w:val="24"/>
          <w:szCs w:val="24"/>
        </w:rPr>
        <w:t>средств местного бюджета денежных обязательств получателей средств местного бюджета</w:t>
      </w:r>
      <w:proofErr w:type="gramEnd"/>
      <w:r w:rsidRPr="00971C7D">
        <w:rPr>
          <w:rFonts w:ascii="Times New Roman" w:hAnsi="Times New Roman" w:cs="Times New Roman"/>
          <w:sz w:val="24"/>
          <w:szCs w:val="24"/>
        </w:rPr>
        <w:t xml:space="preserve"> и оплаты денежных обязательств, подлежащих исполнению за счет бюджетных ассигнований по источникам финансирования дефицита местного бюджета.</w:t>
      </w:r>
    </w:p>
    <w:p w:rsidR="00872206"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2. </w:t>
      </w:r>
      <w:proofErr w:type="gramStart"/>
      <w:r w:rsidRPr="00971C7D">
        <w:rPr>
          <w:rFonts w:ascii="Times New Roman" w:hAnsi="Times New Roman" w:cs="Times New Roman"/>
          <w:sz w:val="24"/>
          <w:szCs w:val="24"/>
        </w:rPr>
        <w:t>Для оплаты денежных обязательств получатель средств местного бюджета (администратор источников финансирования дефицита местного бюджета)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местного бюджета),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w:t>
      </w:r>
      <w:proofErr w:type="gramEnd"/>
      <w:r w:rsidRPr="00971C7D">
        <w:rPr>
          <w:rFonts w:ascii="Times New Roman" w:hAnsi="Times New Roman" w:cs="Times New Roman"/>
          <w:sz w:val="24"/>
          <w:szCs w:val="24"/>
        </w:rPr>
        <w:t xml:space="preserve"> Федеральным казначейством  (далее - Распоряжение, порядок казначейского обслуживания).</w:t>
      </w:r>
    </w:p>
    <w:p w:rsidR="00405863" w:rsidRPr="00971C7D" w:rsidRDefault="00872206" w:rsidP="00405863">
      <w:pPr>
        <w:pStyle w:val="ConsPlusNormal"/>
        <w:ind w:firstLine="540"/>
        <w:jc w:val="both"/>
        <w:rPr>
          <w:rFonts w:ascii="Times New Roman" w:hAnsi="Times New Roman" w:cs="Times New Roman"/>
          <w:sz w:val="24"/>
          <w:szCs w:val="24"/>
        </w:rPr>
      </w:pPr>
      <w:bookmarkStart w:id="1" w:name="P53"/>
      <w:bookmarkEnd w:id="1"/>
      <w:r w:rsidRPr="00971C7D">
        <w:rPr>
          <w:rFonts w:ascii="Times New Roman" w:hAnsi="Times New Roman" w:cs="Times New Roman"/>
          <w:sz w:val="24"/>
          <w:szCs w:val="24"/>
        </w:rPr>
        <w:t xml:space="preserve">3. Орган Федерального казначейства проверяет Распоряжение на наличие в нем реквизитов и показателей, предусмотренных пунктом 4 настоящего Порядка (с учетом положений пункта 5 настоящего Порядка), на соответствие требованиям, установленным пунктами 6, 7, </w:t>
      </w:r>
      <w:r w:rsidR="003C579A" w:rsidRPr="00971C7D">
        <w:rPr>
          <w:rFonts w:ascii="Times New Roman" w:hAnsi="Times New Roman" w:cs="Times New Roman"/>
          <w:sz w:val="24"/>
          <w:szCs w:val="24"/>
        </w:rPr>
        <w:t>9 и 10</w:t>
      </w:r>
      <w:r w:rsidRPr="00971C7D">
        <w:rPr>
          <w:rFonts w:ascii="Times New Roman" w:hAnsi="Times New Roman" w:cs="Times New Roman"/>
          <w:sz w:val="24"/>
          <w:szCs w:val="24"/>
        </w:rPr>
        <w:t xml:space="preserve"> настоящего Порядка, а также наличие документов</w:t>
      </w:r>
      <w:r w:rsidR="003C579A" w:rsidRPr="00971C7D">
        <w:rPr>
          <w:rFonts w:ascii="Times New Roman" w:hAnsi="Times New Roman" w:cs="Times New Roman"/>
          <w:sz w:val="24"/>
          <w:szCs w:val="24"/>
        </w:rPr>
        <w:t>, предусмотренных пунктами 7 - 8</w:t>
      </w:r>
      <w:r w:rsidRPr="00971C7D">
        <w:rPr>
          <w:rFonts w:ascii="Times New Roman" w:hAnsi="Times New Roman" w:cs="Times New Roman"/>
          <w:sz w:val="24"/>
          <w:szCs w:val="24"/>
        </w:rPr>
        <w:t xml:space="preserve"> настоящего Порядка:</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не позднее рабочего дня, следующего за днем представления получателем средств местного бюджета (администратором источников финансирования дефицита местного бюджета) Распоряжения в орган Федерального казначейства;</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не позднее четвертого рабочего дня, следующего за днем представления получателем средств местного бюджета Распоряжения в орган Федерального казначейства, в случаях, установленных абзацем вторым подпункта 16 пункта 6 настоящего Порядка.</w:t>
      </w:r>
      <w:bookmarkStart w:id="2" w:name="P56"/>
      <w:bookmarkEnd w:id="2"/>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4. Распоряжение проверяется на наличие в нем следующих реквизитов и показателей:</w:t>
      </w:r>
    </w:p>
    <w:p w:rsidR="00872206" w:rsidRPr="00971C7D" w:rsidRDefault="00872206" w:rsidP="00405863">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1) подписей, соответствующих имеющимся образцам, представленным получателем средств местного бюджета (администратором источников финансирования дефицита местного бюджета) для открытия соответствующего лицевого счета в порядке, установленным Федеральным казначейством (за исключением Распоряжения,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лицом (руководителем</w:t>
      </w:r>
      <w:proofErr w:type="gramEnd"/>
      <w:r w:rsidRPr="00971C7D">
        <w:rPr>
          <w:rFonts w:ascii="Times New Roman" w:hAnsi="Times New Roman" w:cs="Times New Roman"/>
          <w:sz w:val="24"/>
          <w:szCs w:val="24"/>
        </w:rPr>
        <w:t xml:space="preserve"> организации, осуществляющей полномочие по ведению бюджетного учета), с учетом сроков оплаты товаров, работ, услуг,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72206" w:rsidRPr="00971C7D" w:rsidRDefault="00872206" w:rsidP="00872206">
      <w:pPr>
        <w:pStyle w:val="ConsPlusNormal"/>
        <w:ind w:firstLine="540"/>
        <w:jc w:val="both"/>
        <w:rPr>
          <w:rFonts w:ascii="Times New Roman" w:hAnsi="Times New Roman" w:cs="Times New Roman"/>
          <w:sz w:val="24"/>
          <w:szCs w:val="24"/>
        </w:rPr>
      </w:pPr>
      <w:bookmarkStart w:id="3" w:name="P66"/>
      <w:bookmarkEnd w:id="3"/>
      <w:r w:rsidRPr="00971C7D">
        <w:rPr>
          <w:rFonts w:ascii="Times New Roman" w:hAnsi="Times New Roman" w:cs="Times New Roman"/>
          <w:sz w:val="24"/>
          <w:szCs w:val="24"/>
        </w:rPr>
        <w:t xml:space="preserve">2) уникального кода получателя средств местного бюджета по реестру участников </w:t>
      </w:r>
      <w:r w:rsidRPr="00971C7D">
        <w:rPr>
          <w:rFonts w:ascii="Times New Roman" w:hAnsi="Times New Roman" w:cs="Times New Roman"/>
          <w:sz w:val="24"/>
          <w:szCs w:val="24"/>
        </w:rPr>
        <w:lastRenderedPageBreak/>
        <w:t>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872206" w:rsidRPr="00971C7D" w:rsidRDefault="00872206" w:rsidP="00872206">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 xml:space="preserve">3) кодов классификации расходов местного бюджета (классификации источников финансирования дефицитов местного бюджета), по которым необходимо произвести перечисление, уникального кода объекта капитального строительства или объекта недвижимости, отраженного на лицевом счете получателя средств местного бюджета, кода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w:t>
      </w:r>
      <w:proofErr w:type="spellStart"/>
      <w:r w:rsidRPr="00971C7D">
        <w:rPr>
          <w:rFonts w:ascii="Times New Roman" w:hAnsi="Times New Roman" w:cs="Times New Roman"/>
          <w:sz w:val="24"/>
          <w:szCs w:val="24"/>
        </w:rPr>
        <w:t>икомпонентов</w:t>
      </w:r>
      <w:proofErr w:type="spellEnd"/>
      <w:proofErr w:type="gramEnd"/>
      <w:r w:rsidRPr="00971C7D">
        <w:rPr>
          <w:rFonts w:ascii="Times New Roman" w:hAnsi="Times New Roman" w:cs="Times New Roman"/>
          <w:sz w:val="24"/>
          <w:szCs w:val="24"/>
        </w:rPr>
        <w:t xml:space="preserve"> </w:t>
      </w:r>
      <w:proofErr w:type="gramStart"/>
      <w:r w:rsidRPr="00971C7D">
        <w:rPr>
          <w:rFonts w:ascii="Times New Roman" w:hAnsi="Times New Roman" w:cs="Times New Roman"/>
          <w:sz w:val="24"/>
          <w:szCs w:val="24"/>
        </w:rPr>
        <w:t>информационно-телекоммуникационной инфраструктуры (далее - мероприятие по информатизации), доведенных до органа Федерального казначейства в соответствии с порядком составления и ведения сводной бюджетной росписи местного бюджета (далее - Порядок составления и ведения сводной бюджетной росписи местного бюджета),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 мероприятий по информатизации, а также текстового</w:t>
      </w:r>
      <w:proofErr w:type="gramEnd"/>
      <w:r w:rsidRPr="00971C7D">
        <w:rPr>
          <w:rFonts w:ascii="Times New Roman" w:hAnsi="Times New Roman" w:cs="Times New Roman"/>
          <w:sz w:val="24"/>
          <w:szCs w:val="24"/>
        </w:rPr>
        <w:t xml:space="preserve"> назначения платежа;</w:t>
      </w:r>
    </w:p>
    <w:p w:rsidR="00405863" w:rsidRPr="00971C7D" w:rsidRDefault="00872206" w:rsidP="00405863">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4) суммы перечисления и кода валюты в соответствии с Общероссийским классификатором валют, в которой он должен быть произведен;</w:t>
      </w:r>
      <w:proofErr w:type="gramEnd"/>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5) суммы перечисления в валюте Российской Федерации, в рублевом эквиваленте, исчисленном на дату оформления Распоряжения;</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6) вида средств;</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w:t>
      </w:r>
      <w:proofErr w:type="gramStart"/>
      <w:r w:rsidRPr="00971C7D">
        <w:rPr>
          <w:rFonts w:ascii="Times New Roman" w:hAnsi="Times New Roman" w:cs="Times New Roman"/>
          <w:sz w:val="24"/>
          <w:szCs w:val="24"/>
        </w:rPr>
        <w:t>дств в Р</w:t>
      </w:r>
      <w:proofErr w:type="gramEnd"/>
      <w:r w:rsidRPr="00971C7D">
        <w:rPr>
          <w:rFonts w:ascii="Times New Roman" w:hAnsi="Times New Roman" w:cs="Times New Roman"/>
          <w:sz w:val="24"/>
          <w:szCs w:val="24"/>
        </w:rPr>
        <w:t>аспоряжении;</w:t>
      </w:r>
      <w:bookmarkStart w:id="4" w:name="P78"/>
      <w:bookmarkEnd w:id="4"/>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8) номера учтенного в органе Федерального казначейства бюджетного обязательства и номера денежного обязательства получателя средств местного бюджета (при наличии);</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9) номера и серии чека;</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10) срока действия чека;</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11) фамилии, имени и отчества получателя средств по чеку;</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12) данных документов, удостоверяющих личность получателя средств по чеку;</w:t>
      </w:r>
      <w:bookmarkStart w:id="5" w:name="P83"/>
      <w:bookmarkEnd w:id="5"/>
    </w:p>
    <w:p w:rsidR="00872206"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13)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872206" w:rsidRPr="00971C7D" w:rsidRDefault="00872206" w:rsidP="00872206">
      <w:pPr>
        <w:pStyle w:val="ConsPlusNormal"/>
        <w:ind w:firstLine="540"/>
        <w:jc w:val="both"/>
        <w:rPr>
          <w:rFonts w:ascii="Times New Roman" w:hAnsi="Times New Roman" w:cs="Times New Roman"/>
          <w:sz w:val="24"/>
          <w:szCs w:val="24"/>
        </w:rPr>
      </w:pPr>
      <w:bookmarkStart w:id="6" w:name="P87"/>
      <w:bookmarkEnd w:id="6"/>
      <w:proofErr w:type="gramStart"/>
      <w:r w:rsidRPr="00971C7D">
        <w:rPr>
          <w:rFonts w:ascii="Times New Roman" w:hAnsi="Times New Roman" w:cs="Times New Roman"/>
          <w:sz w:val="24"/>
          <w:szCs w:val="24"/>
        </w:rPr>
        <w:t xml:space="preserve">14) реквизитов (номер, дата) документов (договора (муниципального контракта) на поставку товаров, выполнение работ, оказание услуг (далее - договор (муниципальный контракт), соглашения о предоставлении из местного бюджета бюджету муниципального образования (бюджету субъекта Российской Федерации) межбюджетного трансферта в форме субсидии, субвенции, иного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из местного бюджета </w:t>
      </w:r>
      <w:proofErr w:type="spellStart"/>
      <w:r w:rsidRPr="00971C7D">
        <w:rPr>
          <w:rFonts w:ascii="Times New Roman" w:hAnsi="Times New Roman" w:cs="Times New Roman"/>
          <w:sz w:val="24"/>
          <w:szCs w:val="24"/>
        </w:rPr>
        <w:t>юридическомулицу</w:t>
      </w:r>
      <w:proofErr w:type="spellEnd"/>
      <w:proofErr w:type="gramEnd"/>
      <w:r w:rsidRPr="00971C7D">
        <w:rPr>
          <w:rFonts w:ascii="Times New Roman" w:hAnsi="Times New Roman" w:cs="Times New Roman"/>
          <w:sz w:val="24"/>
          <w:szCs w:val="24"/>
        </w:rPr>
        <w:t xml:space="preserve">, </w:t>
      </w:r>
      <w:proofErr w:type="gramStart"/>
      <w:r w:rsidRPr="00971C7D">
        <w:rPr>
          <w:rFonts w:ascii="Times New Roman" w:hAnsi="Times New Roman" w:cs="Times New Roman"/>
          <w:sz w:val="24"/>
          <w:szCs w:val="24"/>
        </w:rPr>
        <w:t>индивидуальному предпринимателю или физическому лицу - производителю товаров, работ, услуг (далее - соглашение), договоров о предоставлении бюджетных инвестиций в соответствии со статьей 80 Бюджетного кодекса Российской Федерации  (далее - договор о предоставлении инвестиций) (при наличии),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предоставляемых получателями средств местного бюджета при постановке на</w:t>
      </w:r>
      <w:proofErr w:type="gramEnd"/>
      <w:r w:rsidRPr="00971C7D">
        <w:rPr>
          <w:rFonts w:ascii="Times New Roman" w:hAnsi="Times New Roman" w:cs="Times New Roman"/>
          <w:sz w:val="24"/>
          <w:szCs w:val="24"/>
        </w:rPr>
        <w:t xml:space="preserve"> учет бюджетных и денежных обязательств в соответствии с порядком </w:t>
      </w:r>
      <w:r w:rsidRPr="00971C7D">
        <w:rPr>
          <w:rFonts w:ascii="Times New Roman" w:hAnsi="Times New Roman" w:cs="Times New Roman"/>
          <w:sz w:val="24"/>
          <w:szCs w:val="24"/>
        </w:rPr>
        <w:lastRenderedPageBreak/>
        <w:t xml:space="preserve">учета территориальными органами Федерального казначейства бюджетных и денежных обязательств получателей средств местного бюджета, установленным </w:t>
      </w:r>
      <w:r w:rsidR="002C578F" w:rsidRPr="00971C7D">
        <w:rPr>
          <w:rFonts w:ascii="Times New Roman" w:hAnsi="Times New Roman" w:cs="Times New Roman"/>
          <w:sz w:val="24"/>
          <w:szCs w:val="24"/>
        </w:rPr>
        <w:t>финансовым органом</w:t>
      </w:r>
      <w:r w:rsidR="00D825F9">
        <w:rPr>
          <w:rFonts w:ascii="Times New Roman" w:hAnsi="Times New Roman" w:cs="Times New Roman"/>
          <w:sz w:val="24"/>
          <w:szCs w:val="24"/>
        </w:rPr>
        <w:t xml:space="preserve"> </w:t>
      </w:r>
      <w:r w:rsidRPr="00971C7D">
        <w:rPr>
          <w:rFonts w:ascii="Times New Roman" w:hAnsi="Times New Roman" w:cs="Times New Roman"/>
          <w:sz w:val="24"/>
          <w:szCs w:val="24"/>
        </w:rPr>
        <w:t>(далее - порядок учета обязательств);</w:t>
      </w:r>
    </w:p>
    <w:p w:rsidR="00405863" w:rsidRPr="00971C7D" w:rsidRDefault="00872206" w:rsidP="00405863">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15) реквизитов (тип, номер, дата) документа, подтверждающего возникновение денежного обязательства при поставке товаров, выполнении работ, оказании услуг, предусмотренного графой 3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являющегося приложением N 3 к Порядку учета бюджетных и денежных обязательств получателей средств местного бюджета территориальными органами Федерального</w:t>
      </w:r>
      <w:proofErr w:type="gramEnd"/>
      <w:r w:rsidR="00D825F9">
        <w:rPr>
          <w:rFonts w:ascii="Times New Roman" w:hAnsi="Times New Roman" w:cs="Times New Roman"/>
          <w:sz w:val="24"/>
          <w:szCs w:val="24"/>
        </w:rPr>
        <w:t xml:space="preserve"> </w:t>
      </w:r>
      <w:proofErr w:type="gramStart"/>
      <w:r w:rsidRPr="00971C7D">
        <w:rPr>
          <w:rFonts w:ascii="Times New Roman" w:hAnsi="Times New Roman" w:cs="Times New Roman"/>
          <w:sz w:val="24"/>
          <w:szCs w:val="24"/>
        </w:rPr>
        <w:t>казначейства, утвержденному приказом финансовым органом…………..  (далее соответственно - документы, подтверждающие возникновение денежных обязательств, Перечень),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w:t>
      </w:r>
      <w:proofErr w:type="gramEnd"/>
      <w:r w:rsidRPr="00971C7D">
        <w:rPr>
          <w:rFonts w:ascii="Times New Roman" w:hAnsi="Times New Roman" w:cs="Times New Roman"/>
          <w:sz w:val="24"/>
          <w:szCs w:val="24"/>
        </w:rPr>
        <w:t xml:space="preserve"> платы);</w:t>
      </w:r>
      <w:bookmarkStart w:id="7" w:name="P94"/>
      <w:bookmarkEnd w:id="7"/>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16) кода источника поступлений целевых сре</w:t>
      </w:r>
      <w:proofErr w:type="gramStart"/>
      <w:r w:rsidRPr="00971C7D">
        <w:rPr>
          <w:rFonts w:ascii="Times New Roman" w:hAnsi="Times New Roman" w:cs="Times New Roman"/>
          <w:sz w:val="24"/>
          <w:szCs w:val="24"/>
        </w:rPr>
        <w:t>дств в сл</w:t>
      </w:r>
      <w:proofErr w:type="gramEnd"/>
      <w:r w:rsidRPr="00971C7D">
        <w:rPr>
          <w:rFonts w:ascii="Times New Roman" w:hAnsi="Times New Roman" w:cs="Times New Roman"/>
          <w:sz w:val="24"/>
          <w:szCs w:val="24"/>
        </w:rPr>
        <w:t>учае санкционирования расходов, источником финансового обеспечения которых являются целевые средства при казначейском сопровождении;</w:t>
      </w:r>
    </w:p>
    <w:p w:rsidR="00872206"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17) идентификатора договора (муниципального контракта), соглашения, договора о предоставлении инвестиций, в случае санкционирования расходов, возникающих при оплате указанных договоров (муниципальных контрактов), соглашений, договоров о предоставлении инвестиций при казначейском сопровождении средств</w:t>
      </w:r>
      <w:proofErr w:type="gramStart"/>
      <w:r w:rsidRPr="00971C7D">
        <w:rPr>
          <w:rFonts w:ascii="Times New Roman" w:hAnsi="Times New Roman" w:cs="Times New Roman"/>
          <w:sz w:val="24"/>
          <w:szCs w:val="24"/>
        </w:rPr>
        <w:t xml:space="preserve"> ;</w:t>
      </w:r>
      <w:proofErr w:type="gramEnd"/>
    </w:p>
    <w:p w:rsidR="00872206" w:rsidRPr="00971C7D" w:rsidRDefault="00872206" w:rsidP="00872206">
      <w:pPr>
        <w:pStyle w:val="ConsPlusNormal"/>
        <w:ind w:firstLine="540"/>
        <w:jc w:val="both"/>
        <w:rPr>
          <w:rFonts w:ascii="Times New Roman" w:hAnsi="Times New Roman" w:cs="Times New Roman"/>
          <w:sz w:val="24"/>
          <w:szCs w:val="24"/>
        </w:rPr>
      </w:pPr>
      <w:bookmarkStart w:id="8" w:name="P101"/>
      <w:bookmarkEnd w:id="8"/>
      <w:r w:rsidRPr="00971C7D">
        <w:rPr>
          <w:rFonts w:ascii="Times New Roman" w:hAnsi="Times New Roman" w:cs="Times New Roman"/>
          <w:sz w:val="24"/>
          <w:szCs w:val="24"/>
        </w:rPr>
        <w:t xml:space="preserve">18) уникального номера реестровой записи, идентификатора информации о </w:t>
      </w:r>
      <w:proofErr w:type="gramStart"/>
      <w:r w:rsidRPr="00971C7D">
        <w:rPr>
          <w:rFonts w:ascii="Times New Roman" w:hAnsi="Times New Roman" w:cs="Times New Roman"/>
          <w:sz w:val="24"/>
          <w:szCs w:val="24"/>
        </w:rPr>
        <w:t>документе</w:t>
      </w:r>
      <w:proofErr w:type="gramEnd"/>
      <w:r w:rsidRPr="00971C7D">
        <w:rPr>
          <w:rFonts w:ascii="Times New Roman" w:hAnsi="Times New Roman" w:cs="Times New Roman"/>
          <w:sz w:val="24"/>
          <w:szCs w:val="24"/>
        </w:rPr>
        <w:t xml:space="preserve"> о приемке поставленного товара, выполненной работы (ее результатов), оказанных услуг или идентификатора информации об этапе исполнения контракта (в случае авансового платежа) (далее соответственно - идентификатор документа о приемке, идентификатор этапа) и указания кода вида реестра - "02" в случае санкционирования расходов, возникающих при оплате договоров (муниципальных контрактов), подлежащих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(далее - реестр контрактов).</w:t>
      </w:r>
    </w:p>
    <w:p w:rsidR="00405863" w:rsidRPr="00971C7D" w:rsidRDefault="00872206" w:rsidP="00405863">
      <w:pPr>
        <w:pStyle w:val="ConsPlusNormal"/>
        <w:ind w:firstLine="540"/>
        <w:jc w:val="both"/>
        <w:rPr>
          <w:rFonts w:ascii="Times New Roman" w:hAnsi="Times New Roman" w:cs="Times New Roman"/>
          <w:sz w:val="24"/>
          <w:szCs w:val="24"/>
        </w:rPr>
      </w:pPr>
      <w:bookmarkStart w:id="9" w:name="P107"/>
      <w:bookmarkEnd w:id="9"/>
      <w:r w:rsidRPr="00971C7D">
        <w:rPr>
          <w:rFonts w:ascii="Times New Roman" w:hAnsi="Times New Roman" w:cs="Times New Roman"/>
          <w:sz w:val="24"/>
          <w:szCs w:val="24"/>
        </w:rPr>
        <w:t>5. Требования подпунктов 14 - 16 пункта 4 настоящего Порядка не применяются в отношении:</w:t>
      </w:r>
    </w:p>
    <w:p w:rsidR="00405863" w:rsidRPr="00971C7D" w:rsidRDefault="00872206" w:rsidP="00405863">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Распоряжения при перечислении средств получателям средств местного бюджета, осуществляющим в соответствии с бюджетным законодательством Российской Федерации операции со средствами местного бюджета (в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местного бюджета, находящимся за пределами Российской Федерации и получающим средства местного бюджета от главного распорядителя (распорядителя) средств местного</w:t>
      </w:r>
      <w:proofErr w:type="gramEnd"/>
      <w:r w:rsidRPr="00971C7D">
        <w:rPr>
          <w:rFonts w:ascii="Times New Roman" w:hAnsi="Times New Roman" w:cs="Times New Roman"/>
          <w:sz w:val="24"/>
          <w:szCs w:val="24"/>
        </w:rPr>
        <w:t xml:space="preserve"> бюджета в иностранной валюте;</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Распоряжения при перечислении сре</w:t>
      </w:r>
      <w:proofErr w:type="gramStart"/>
      <w:r w:rsidRPr="00971C7D">
        <w:rPr>
          <w:rFonts w:ascii="Times New Roman" w:hAnsi="Times New Roman" w:cs="Times New Roman"/>
          <w:sz w:val="24"/>
          <w:szCs w:val="24"/>
        </w:rPr>
        <w:t>дств стр</w:t>
      </w:r>
      <w:proofErr w:type="gramEnd"/>
      <w:r w:rsidRPr="00971C7D">
        <w:rPr>
          <w:rFonts w:ascii="Times New Roman" w:hAnsi="Times New Roman" w:cs="Times New Roman"/>
          <w:sz w:val="24"/>
          <w:szCs w:val="24"/>
        </w:rPr>
        <w:t>уктурным (обособленным) подразделениям получателей средств местного бюджета, не наделенным полномочиями по ведению бюджетного учета.</w:t>
      </w:r>
    </w:p>
    <w:p w:rsidR="00872206"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Требования подпункта 14 пункта 4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(муниципального контракта) законодательством </w:t>
      </w:r>
      <w:r w:rsidRPr="00971C7D">
        <w:rPr>
          <w:rFonts w:ascii="Times New Roman" w:hAnsi="Times New Roman" w:cs="Times New Roman"/>
          <w:sz w:val="24"/>
          <w:szCs w:val="24"/>
        </w:rPr>
        <w:lastRenderedPageBreak/>
        <w:t>Российской Федерации не предусмотрено.</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В одном Распоряжении может содержаться несколько сумм перечислений по разным кодам классификации расходов местного бюджета (классификации источников финансирования дефицитов местного бюджета) в рамках одного денежного обязательства получателя средств местного бюджета (администратора источников финансирования дефицита местного бюджета).</w:t>
      </w:r>
      <w:bookmarkStart w:id="10" w:name="P113"/>
      <w:bookmarkEnd w:id="10"/>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bookmarkStart w:id="11" w:name="P114"/>
      <w:bookmarkEnd w:id="11"/>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2) соответствие содержания текста назначения платежа, указанного в Распоряжении, содержанию операции, исходя из документа, подтверждающего возникновение денежного обязательства;</w:t>
      </w:r>
      <w:bookmarkStart w:id="12" w:name="P117"/>
      <w:bookmarkEnd w:id="12"/>
    </w:p>
    <w:p w:rsidR="00872206"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3) соответствие указанных в Распоряжении </w:t>
      </w:r>
      <w:proofErr w:type="gramStart"/>
      <w:r w:rsidRPr="00971C7D">
        <w:rPr>
          <w:rFonts w:ascii="Times New Roman" w:hAnsi="Times New Roman" w:cs="Times New Roman"/>
          <w:sz w:val="24"/>
          <w:szCs w:val="24"/>
        </w:rPr>
        <w:t>кодов видов расходов классификации расходов местного бюджета</w:t>
      </w:r>
      <w:proofErr w:type="gramEnd"/>
      <w:r w:rsidRPr="00971C7D">
        <w:rPr>
          <w:rFonts w:ascii="Times New Roman" w:hAnsi="Times New Roman" w:cs="Times New Roman"/>
          <w:sz w:val="24"/>
          <w:szCs w:val="24"/>
        </w:rPr>
        <w:t xml:space="preserve">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rsidR="00872206" w:rsidRPr="00971C7D" w:rsidRDefault="00872206" w:rsidP="00872206">
      <w:pPr>
        <w:pStyle w:val="ConsPlusNormal"/>
        <w:ind w:firstLine="540"/>
        <w:jc w:val="both"/>
        <w:rPr>
          <w:rFonts w:ascii="Times New Roman" w:hAnsi="Times New Roman" w:cs="Times New Roman"/>
          <w:sz w:val="24"/>
          <w:szCs w:val="24"/>
        </w:rPr>
      </w:pPr>
      <w:bookmarkStart w:id="13" w:name="P121"/>
      <w:bookmarkEnd w:id="13"/>
      <w:r w:rsidRPr="00971C7D">
        <w:rPr>
          <w:rFonts w:ascii="Times New Roman" w:hAnsi="Times New Roman" w:cs="Times New Roman"/>
          <w:sz w:val="24"/>
          <w:szCs w:val="24"/>
        </w:rPr>
        <w:t xml:space="preserve">4)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(мероприятий по информатизации);</w:t>
      </w:r>
    </w:p>
    <w:p w:rsidR="00405863" w:rsidRPr="00971C7D" w:rsidRDefault="00872206" w:rsidP="00405863">
      <w:pPr>
        <w:pStyle w:val="ConsPlusNormal"/>
        <w:ind w:firstLine="540"/>
        <w:jc w:val="both"/>
        <w:rPr>
          <w:rFonts w:ascii="Times New Roman" w:hAnsi="Times New Roman" w:cs="Times New Roman"/>
          <w:sz w:val="24"/>
          <w:szCs w:val="24"/>
        </w:rPr>
      </w:pPr>
      <w:bookmarkStart w:id="14" w:name="P122"/>
      <w:bookmarkStart w:id="15" w:name="P128"/>
      <w:bookmarkEnd w:id="14"/>
      <w:bookmarkEnd w:id="15"/>
      <w:r w:rsidRPr="00971C7D">
        <w:rPr>
          <w:rFonts w:ascii="Times New Roman" w:hAnsi="Times New Roman" w:cs="Times New Roman"/>
          <w:sz w:val="24"/>
          <w:szCs w:val="24"/>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6) соответствие реквизитов Распоряжения требованиям бюджетного законодательства Российской Федерации о перечислении средств местного бюджета на соответствующие казначейские счета;</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7) идентичность кода участника бюджетного процесса по Сводному реестру по денежному обязательству и платежу;</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8) идентичность кода (кодов) классификации расходов местного бюджета по денежному обязательству и платежу;</w:t>
      </w:r>
    </w:p>
    <w:p w:rsidR="00405863" w:rsidRPr="00971C7D" w:rsidRDefault="00872206" w:rsidP="00405863">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3B7031" w:rsidRPr="00971C7D" w:rsidRDefault="00872206" w:rsidP="003B7031">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 xml:space="preserve">10)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roofErr w:type="gramEnd"/>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11) соответствие кода классификации расходов местного бюджета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rsidR="00872206"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12)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размера авансового платежа, указанного в Распоряжении, над суммой авансового платежа по договору (муниципальному контракту) (суммой авансового платежа по этапу исполнения договора (муниципального контракта) в случае, если договором (муниципальным контрактом) предусмотрено его поэтапное исполнение) с учетом ранее осуществленных авансовых платежей;</w:t>
      </w:r>
    </w:p>
    <w:p w:rsidR="00872206" w:rsidRPr="00971C7D" w:rsidRDefault="00872206" w:rsidP="00872206">
      <w:pPr>
        <w:pStyle w:val="ConsPlusNormal"/>
        <w:spacing w:before="220"/>
        <w:ind w:firstLine="540"/>
        <w:jc w:val="both"/>
        <w:rPr>
          <w:rFonts w:ascii="Times New Roman" w:hAnsi="Times New Roman" w:cs="Times New Roman"/>
          <w:sz w:val="24"/>
          <w:szCs w:val="24"/>
        </w:rPr>
      </w:pPr>
      <w:bookmarkStart w:id="16" w:name="P137"/>
      <w:bookmarkEnd w:id="16"/>
      <w:r w:rsidRPr="00971C7D">
        <w:rPr>
          <w:rFonts w:ascii="Times New Roman" w:hAnsi="Times New Roman" w:cs="Times New Roman"/>
          <w:sz w:val="24"/>
          <w:szCs w:val="24"/>
        </w:rPr>
        <w:lastRenderedPageBreak/>
        <w:t>13) соответствие уникального номера реестровой записи в реестре контрактов или реестре контрактов, содержащих сведения, составляющие государственную тайну (далее - реестр контрактов, содержащий государственную тайну) договору (муниципальному контракту), подлежащему включению в реестр контрактов или реестр контрактов, содержащий государственную тайну, указанных в Распоряжении;</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(муниципальному контракту), содержащему сведения, составляющие государственную тайну;</w:t>
      </w:r>
      <w:bookmarkStart w:id="17" w:name="P144"/>
      <w:bookmarkEnd w:id="17"/>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14)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 нормативно-правовым актом органа местного самоуправления;</w:t>
      </w:r>
      <w:bookmarkStart w:id="18" w:name="P145"/>
      <w:bookmarkEnd w:id="18"/>
    </w:p>
    <w:p w:rsidR="00872206"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15) </w:t>
      </w:r>
      <w:proofErr w:type="spellStart"/>
      <w:r w:rsidRPr="00971C7D">
        <w:rPr>
          <w:rFonts w:ascii="Times New Roman" w:hAnsi="Times New Roman" w:cs="Times New Roman"/>
          <w:sz w:val="24"/>
          <w:szCs w:val="24"/>
        </w:rPr>
        <w:t>неопережение</w:t>
      </w:r>
      <w:proofErr w:type="spellEnd"/>
      <w:r w:rsidRPr="00971C7D">
        <w:rPr>
          <w:rFonts w:ascii="Times New Roman" w:hAnsi="Times New Roman" w:cs="Times New Roman"/>
          <w:sz w:val="24"/>
          <w:szCs w:val="24"/>
        </w:rPr>
        <w:t xml:space="preserve">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p>
    <w:p w:rsidR="003B7031" w:rsidRPr="00971C7D" w:rsidRDefault="00872206" w:rsidP="003B7031">
      <w:pPr>
        <w:pStyle w:val="ConsPlusNormal"/>
        <w:ind w:firstLine="540"/>
        <w:jc w:val="both"/>
        <w:rPr>
          <w:rFonts w:ascii="Times New Roman" w:hAnsi="Times New Roman" w:cs="Times New Roman"/>
          <w:sz w:val="24"/>
          <w:szCs w:val="24"/>
        </w:rPr>
      </w:pPr>
      <w:bookmarkStart w:id="19" w:name="P146"/>
      <w:bookmarkStart w:id="20" w:name="P150"/>
      <w:bookmarkEnd w:id="19"/>
      <w:bookmarkEnd w:id="20"/>
      <w:proofErr w:type="gramStart"/>
      <w:r w:rsidRPr="00971C7D">
        <w:rPr>
          <w:rFonts w:ascii="Times New Roman" w:hAnsi="Times New Roman" w:cs="Times New Roman"/>
          <w:sz w:val="24"/>
          <w:szCs w:val="24"/>
        </w:rPr>
        <w:t>16) соответствие идентификатора договора (муниципального контракта), соглашения, договора о предоставлении инвестиций, указанного в Распоряжении, идентификатору, указанному в договоре (муниципальном контракте), соглашении, договоре о предоставлении инвестиций (при наличии);</w:t>
      </w:r>
      <w:proofErr w:type="gramEnd"/>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17) соответствие уникального номера реестровой записи, идентификатора документа о приемке (идентификатора этапа в случае выплаты авансового платежа), указанных в Распоряжении, уникальному номеру реестровой записи, идентификатору документа о приемке (идентификатору этапа в случае выплаты авансового платежа), указанных в реестре контрактов;</w:t>
      </w:r>
      <w:bookmarkStart w:id="21" w:name="P154"/>
      <w:bookmarkEnd w:id="21"/>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18)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суммы Распоряжения над суммой, указанной в документе, подтверждающем возникновение денежного обязательства.</w:t>
      </w:r>
      <w:bookmarkStart w:id="22" w:name="P156"/>
      <w:bookmarkEnd w:id="22"/>
    </w:p>
    <w:p w:rsidR="003B7031" w:rsidRPr="00971C7D" w:rsidRDefault="00872206" w:rsidP="003B7031">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органов местного самоуправления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bookmarkStart w:id="23" w:name="P159"/>
      <w:bookmarkEnd w:id="23"/>
      <w:proofErr w:type="gramEnd"/>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местного бюджета представляет в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 документов указанных в пунктах 11 - 13, строке 1, строках</w:t>
      </w:r>
      <w:proofErr w:type="gramStart"/>
      <w:r w:rsidRPr="00971C7D">
        <w:rPr>
          <w:rFonts w:ascii="Times New Roman" w:hAnsi="Times New Roman" w:cs="Times New Roman"/>
          <w:sz w:val="24"/>
          <w:szCs w:val="24"/>
        </w:rPr>
        <w:t>6</w:t>
      </w:r>
      <w:proofErr w:type="gramEnd"/>
      <w:r w:rsidRPr="00971C7D">
        <w:rPr>
          <w:rFonts w:ascii="Times New Roman" w:hAnsi="Times New Roman" w:cs="Times New Roman"/>
          <w:sz w:val="24"/>
          <w:szCs w:val="24"/>
        </w:rPr>
        <w:t xml:space="preserve">, </w:t>
      </w:r>
      <w:proofErr w:type="gramStart"/>
      <w:r w:rsidRPr="00971C7D">
        <w:rPr>
          <w:rFonts w:ascii="Times New Roman" w:hAnsi="Times New Roman" w:cs="Times New Roman"/>
          <w:sz w:val="24"/>
          <w:szCs w:val="24"/>
        </w:rPr>
        <w:t>7 и 10 - 13 пункта 14 графы 3 Перечня, а также договора на оказание услуг, выполнение работ, заключенного получателем средств местного бюджета с физическим лицом, не являющимся индивидуальным предпринимателем, указанного в строке 5 пункта 14 Перечня, в случае, если сумма указанного договора не превышает 100 тысяч рублей).</w:t>
      </w:r>
      <w:proofErr w:type="gramEnd"/>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При санкционировании оплаты денежных обязатель</w:t>
      </w:r>
      <w:proofErr w:type="gramStart"/>
      <w:r w:rsidRPr="00971C7D">
        <w:rPr>
          <w:rFonts w:ascii="Times New Roman" w:hAnsi="Times New Roman" w:cs="Times New Roman"/>
          <w:sz w:val="24"/>
          <w:szCs w:val="24"/>
        </w:rPr>
        <w:t>ств в сл</w:t>
      </w:r>
      <w:proofErr w:type="gramEnd"/>
      <w:r w:rsidRPr="00971C7D">
        <w:rPr>
          <w:rFonts w:ascii="Times New Roman" w:hAnsi="Times New Roman" w:cs="Times New Roman"/>
          <w:sz w:val="24"/>
          <w:szCs w:val="24"/>
        </w:rPr>
        <w:t>учае, установленном настоящим пунктом, дополнительно к направлениям проверки, установленным пунктом 6 настоящего Порядка, осуществляется проверка равенства сумм Распоряжения сумме соответствующего денежного обязательства.</w:t>
      </w:r>
      <w:bookmarkStart w:id="24" w:name="P163"/>
      <w:bookmarkEnd w:id="24"/>
    </w:p>
    <w:p w:rsidR="003B7031" w:rsidRPr="00971C7D" w:rsidRDefault="00872206" w:rsidP="003B7031">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 xml:space="preserve">8.Для подтверждения денежного обязательства, возникшего по бюджетному обязательству, обусловленному договором (муниципальным контрактом), предусматривающим обязанность получателя средств местного бюджета - муниципального заказчика по перечислению суммы неустойки (штрафа, пеней) за </w:t>
      </w:r>
      <w:r w:rsidRPr="00971C7D">
        <w:rPr>
          <w:rFonts w:ascii="Times New Roman" w:hAnsi="Times New Roman" w:cs="Times New Roman"/>
          <w:sz w:val="24"/>
          <w:szCs w:val="24"/>
        </w:rPr>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местного бюджета, получатель средств местного бюджета представляет в орган Федерального казначейства</w:t>
      </w:r>
      <w:proofErr w:type="gramEnd"/>
      <w:r w:rsidRPr="00971C7D">
        <w:rPr>
          <w:rFonts w:ascii="Times New Roman" w:hAnsi="Times New Roman" w:cs="Times New Roman"/>
          <w:sz w:val="24"/>
          <w:szCs w:val="24"/>
        </w:rPr>
        <w:t xml:space="preserve"> по месту обслуживания, в том числе с использованием единой информационной системы в сфере закупок, не позднее представления Распоряжения на оплату денежного обязательства по договору (муниципальному контракту) Распоряжение на перечисление в доход местного бюджета суммы неустойки (штрафа, пеней) по данному договору (муниципальному контракту).</w:t>
      </w:r>
      <w:bookmarkStart w:id="25" w:name="P165"/>
      <w:bookmarkEnd w:id="25"/>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9.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2) соответствие указанных в Распоряжении </w:t>
      </w:r>
      <w:proofErr w:type="gramStart"/>
      <w:r w:rsidRPr="00971C7D">
        <w:rPr>
          <w:rFonts w:ascii="Times New Roman" w:hAnsi="Times New Roman" w:cs="Times New Roman"/>
          <w:sz w:val="24"/>
          <w:szCs w:val="24"/>
        </w:rPr>
        <w:t>кодов видов расходов классификации расходов местного бюджета</w:t>
      </w:r>
      <w:proofErr w:type="gramEnd"/>
      <w:r w:rsidRPr="00971C7D">
        <w:rPr>
          <w:rFonts w:ascii="Times New Roman" w:hAnsi="Times New Roman" w:cs="Times New Roman"/>
          <w:sz w:val="24"/>
          <w:szCs w:val="24"/>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3)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сумм, указанных в Распоряжении, над остатками соответствующих бюджетных ассигнований, учтенных на лицевом счете получателя бюджетных средств.</w:t>
      </w:r>
      <w:bookmarkStart w:id="26" w:name="P169"/>
      <w:bookmarkEnd w:id="26"/>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10. При санкционировании оплаты денежных обязательств по перечислениям по источникам финансирования дефицита местного бюджета осуществляется проверка Распоряжения по следующим направлениям:</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 соответствие указанных в Распоряжении </w:t>
      </w:r>
      <w:proofErr w:type="gramStart"/>
      <w:r w:rsidRPr="00971C7D">
        <w:rPr>
          <w:rFonts w:ascii="Times New Roman" w:hAnsi="Times New Roman" w:cs="Times New Roman"/>
          <w:sz w:val="24"/>
          <w:szCs w:val="24"/>
        </w:rPr>
        <w:t>кодов классификации источников финансирования дефицита местного бюджета</w:t>
      </w:r>
      <w:proofErr w:type="gramEnd"/>
      <w:r w:rsidRPr="00971C7D">
        <w:rPr>
          <w:rFonts w:ascii="Times New Roman" w:hAnsi="Times New Roman" w:cs="Times New Roman"/>
          <w:sz w:val="24"/>
          <w:szCs w:val="24"/>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2) соответствие указанных в Распоряжении </w:t>
      </w:r>
      <w:proofErr w:type="gramStart"/>
      <w:r w:rsidRPr="00971C7D">
        <w:rPr>
          <w:rFonts w:ascii="Times New Roman" w:hAnsi="Times New Roman" w:cs="Times New Roman"/>
          <w:sz w:val="24"/>
          <w:szCs w:val="24"/>
        </w:rPr>
        <w:t>кодов аналитической группы вида источника финансирования дефицита бюджета</w:t>
      </w:r>
      <w:proofErr w:type="gramEnd"/>
      <w:r w:rsidRPr="00971C7D">
        <w:rPr>
          <w:rFonts w:ascii="Times New Roman" w:hAnsi="Times New Roman" w:cs="Times New Roman"/>
          <w:sz w:val="24"/>
          <w:szCs w:val="24"/>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3) </w:t>
      </w:r>
      <w:proofErr w:type="spellStart"/>
      <w:r w:rsidRPr="00971C7D">
        <w:rPr>
          <w:rFonts w:ascii="Times New Roman" w:hAnsi="Times New Roman" w:cs="Times New Roman"/>
          <w:sz w:val="24"/>
          <w:szCs w:val="24"/>
        </w:rPr>
        <w:t>непревышение</w:t>
      </w:r>
      <w:proofErr w:type="spellEnd"/>
      <w:r w:rsidRPr="00971C7D">
        <w:rPr>
          <w:rFonts w:ascii="Times New Roman" w:hAnsi="Times New Roman" w:cs="Times New Roman"/>
          <w:sz w:val="24"/>
          <w:szCs w:val="24"/>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bookmarkStart w:id="27" w:name="P173"/>
      <w:bookmarkEnd w:id="27"/>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10.1. При санкционировании оплаты денежных обязательств по договорам (</w:t>
      </w:r>
      <w:proofErr w:type="spellStart"/>
      <w:r w:rsidRPr="00971C7D">
        <w:rPr>
          <w:rFonts w:ascii="Times New Roman" w:hAnsi="Times New Roman" w:cs="Times New Roman"/>
          <w:sz w:val="24"/>
          <w:szCs w:val="24"/>
        </w:rPr>
        <w:t>муниципальнм</w:t>
      </w:r>
      <w:proofErr w:type="spellEnd"/>
      <w:r w:rsidRPr="00971C7D">
        <w:rPr>
          <w:rFonts w:ascii="Times New Roman" w:hAnsi="Times New Roman" w:cs="Times New Roman"/>
          <w:sz w:val="24"/>
          <w:szCs w:val="24"/>
        </w:rPr>
        <w:t xml:space="preserve"> контрактам), подлежащим включению в реестр контрактов, на основании Распоряжений, сформированных в единой информационной системе в сфере закупок, осуществляется проверка по направлениям, предусмотренным:</w:t>
      </w:r>
      <w:bookmarkStart w:id="28" w:name="P174"/>
      <w:bookmarkEnd w:id="28"/>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подпунктами 2 - 8, 13 - 18 пункта 4, подпунктами 1 - 3, 5 - 13, 16 - 18 пункта 6 настоящего Порядка - с использованием единой информационной системы в сфере закупок;</w:t>
      </w:r>
    </w:p>
    <w:p w:rsidR="00872206"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подпунктом 4 пункта 6 настоящего Порядка - с использованием информационной системы органов Федерального казначейства после поступления в указанную систему Распоряжения по результатам положительных проверок, предусмотренных абзацем вторым настоящего пункта.</w:t>
      </w:r>
    </w:p>
    <w:p w:rsidR="003B7031"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В случае возникновения денежного обязательства на основании документов-оснований, предусмотренных пунктом 4 графы 2 Перечня, проверка, предусмотренная подпунктом 3 пункта 6 настоящего Порядка, осуществляется исходя из кода вида расходов классификации расходов местного бюджета, указанного в денежном обязательстве.</w:t>
      </w:r>
      <w:bookmarkStart w:id="29" w:name="P181"/>
      <w:bookmarkEnd w:id="29"/>
    </w:p>
    <w:p w:rsidR="00872206" w:rsidRPr="00971C7D" w:rsidRDefault="00872206" w:rsidP="003B7031">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 xml:space="preserve">11. </w:t>
      </w:r>
      <w:proofErr w:type="gramStart"/>
      <w:r w:rsidRPr="00971C7D">
        <w:rPr>
          <w:rFonts w:ascii="Times New Roman" w:hAnsi="Times New Roman" w:cs="Times New Roman"/>
          <w:sz w:val="24"/>
          <w:szCs w:val="24"/>
        </w:rPr>
        <w:t xml:space="preserve">В случае если информация, указанная в Распоряжении, или его форма не соответствуют требованиям, установленным пунктами 3, 4, подпунктами 1 - 13, 17 - 18 </w:t>
      </w:r>
      <w:r w:rsidRPr="00971C7D">
        <w:rPr>
          <w:rFonts w:ascii="Times New Roman" w:hAnsi="Times New Roman" w:cs="Times New Roman"/>
          <w:sz w:val="24"/>
          <w:szCs w:val="24"/>
        </w:rPr>
        <w:lastRenderedPageBreak/>
        <w:t>пункта 6, пунктами 7, 9 и 10 настоящего Порядка, или в случае установления нарушения получателем средств местного бюджета условий, установленных пунктом 8 настоящего Порядка, орган Федерального казначейства не позднее сроков, установленных пунктом 3 настоящего Порядка, направляет получателю средств</w:t>
      </w:r>
      <w:proofErr w:type="gramEnd"/>
      <w:r w:rsidRPr="00971C7D">
        <w:rPr>
          <w:rFonts w:ascii="Times New Roman" w:hAnsi="Times New Roman" w:cs="Times New Roman"/>
          <w:sz w:val="24"/>
          <w:szCs w:val="24"/>
        </w:rPr>
        <w:t xml:space="preserve"> местного 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roofErr w:type="gramStart"/>
      <w:r w:rsidRPr="00971C7D">
        <w:rPr>
          <w:rFonts w:ascii="Times New Roman" w:hAnsi="Times New Roman" w:cs="Times New Roman"/>
          <w:sz w:val="24"/>
          <w:szCs w:val="24"/>
        </w:rPr>
        <w:t xml:space="preserve"> .</w:t>
      </w:r>
      <w:proofErr w:type="gramEnd"/>
    </w:p>
    <w:p w:rsidR="00872206" w:rsidRPr="00971C7D" w:rsidRDefault="00872206" w:rsidP="00872206">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 xml:space="preserve">При установлении органом Федерального казначейства нарушений получателем средств местного бюджета условий, установленных подпунктами 14 и (или) 15 пункта 6 настоящего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местного бюджета путем направления Уведомления о нарушении установленных предельных размеров авансового платежа </w:t>
      </w:r>
      <w:proofErr w:type="spellStart"/>
      <w:r w:rsidRPr="00971C7D">
        <w:rPr>
          <w:rFonts w:ascii="Times New Roman" w:hAnsi="Times New Roman" w:cs="Times New Roman"/>
          <w:sz w:val="24"/>
          <w:szCs w:val="24"/>
        </w:rPr>
        <w:t>поформе</w:t>
      </w:r>
      <w:proofErr w:type="spellEnd"/>
      <w:proofErr w:type="gramEnd"/>
      <w:r w:rsidRPr="00971C7D">
        <w:rPr>
          <w:rFonts w:ascii="Times New Roman" w:hAnsi="Times New Roman" w:cs="Times New Roman"/>
          <w:sz w:val="24"/>
          <w:szCs w:val="24"/>
        </w:rPr>
        <w:t xml:space="preserve"> </w:t>
      </w:r>
      <w:proofErr w:type="gramStart"/>
      <w:r w:rsidRPr="00971C7D">
        <w:rPr>
          <w:rFonts w:ascii="Times New Roman" w:hAnsi="Times New Roman" w:cs="Times New Roman"/>
          <w:sz w:val="24"/>
          <w:szCs w:val="24"/>
        </w:rPr>
        <w:t>согласно приложению N 1 к настоящему Порядку (код формы по КФД 0504713) и (или) Уведомления о нарушении сроков внесения и размеров арендной платы по форме согласно приложению N 2 к настоящему Порядку (код формы по КФД 0504714), а также обеспечивает доведение указанной информации до главного распорядителя (распорядителя) средств местного бюджета, в ведении которого находится допустивший нарушение получатель средств местного бюджета</w:t>
      </w:r>
      <w:proofErr w:type="gramEnd"/>
      <w:r w:rsidRPr="00971C7D">
        <w:rPr>
          <w:rFonts w:ascii="Times New Roman" w:hAnsi="Times New Roman" w:cs="Times New Roman"/>
          <w:sz w:val="24"/>
          <w:szCs w:val="24"/>
        </w:rPr>
        <w:t>, не позднее десяти рабочих дней после отражения операций, вызвавших указанные нарушения, на соответствующем лицевом счете.</w:t>
      </w:r>
    </w:p>
    <w:p w:rsidR="00361E5B" w:rsidRPr="00971C7D" w:rsidRDefault="00872206" w:rsidP="00361E5B">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При санкционировании оплаты денежных обязательств в соответствии с пунктом 10.1 настоящего Порядка, уведомления, предусмотренные абзацем первым настоящего пункта, направляются получателю средств местного бюджета с использованием единой информационной системы в сфере закупок.</w:t>
      </w:r>
    </w:p>
    <w:p w:rsidR="00361E5B" w:rsidRPr="00971C7D" w:rsidRDefault="00872206" w:rsidP="00361E5B">
      <w:pPr>
        <w:pStyle w:val="ConsPlusNormal"/>
        <w:ind w:firstLine="540"/>
        <w:jc w:val="both"/>
        <w:rPr>
          <w:rFonts w:ascii="Times New Roman" w:hAnsi="Times New Roman" w:cs="Times New Roman"/>
          <w:sz w:val="24"/>
          <w:szCs w:val="24"/>
        </w:rPr>
      </w:pPr>
      <w:proofErr w:type="gramStart"/>
      <w:r w:rsidRPr="00971C7D">
        <w:rPr>
          <w:rFonts w:ascii="Times New Roman" w:hAnsi="Times New Roman" w:cs="Times New Roman"/>
          <w:sz w:val="24"/>
          <w:szCs w:val="24"/>
        </w:rPr>
        <w:t>12.При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местного бюджета (администратора источников финансирования дефицита местного бюджета) с указанием даты, подписи, расшифровки подписи, содержащей фамилию, инициалы ответственного исполнителя органа Федерального казначейства, и Распоряжение принимается к исполнению.</w:t>
      </w:r>
      <w:proofErr w:type="gramEnd"/>
    </w:p>
    <w:p w:rsidR="00872206" w:rsidRPr="00971C7D" w:rsidRDefault="00872206" w:rsidP="00361E5B">
      <w:pPr>
        <w:pStyle w:val="ConsPlusNormal"/>
        <w:ind w:firstLine="540"/>
        <w:jc w:val="both"/>
        <w:rPr>
          <w:rFonts w:ascii="Times New Roman" w:hAnsi="Times New Roman" w:cs="Times New Roman"/>
          <w:sz w:val="24"/>
          <w:szCs w:val="24"/>
        </w:rPr>
      </w:pPr>
      <w:r w:rsidRPr="00971C7D">
        <w:rPr>
          <w:rFonts w:ascii="Times New Roman" w:hAnsi="Times New Roman" w:cs="Times New Roman"/>
          <w:sz w:val="24"/>
          <w:szCs w:val="24"/>
        </w:rPr>
        <w:t>13. Представление и хранение Распоряжения для санкционирования оплаты денежных обязательств получателей средств местного бюджета (администраторов источников финансирования дефицита местного бюджета),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right"/>
        <w:outlineLvl w:val="1"/>
        <w:rPr>
          <w:rFonts w:ascii="Times New Roman" w:hAnsi="Times New Roman" w:cs="Times New Roman"/>
          <w:sz w:val="24"/>
          <w:szCs w:val="24"/>
        </w:rPr>
      </w:pPr>
      <w:r w:rsidRPr="00971C7D">
        <w:rPr>
          <w:rFonts w:ascii="Times New Roman" w:hAnsi="Times New Roman" w:cs="Times New Roman"/>
          <w:sz w:val="24"/>
          <w:szCs w:val="24"/>
        </w:rPr>
        <w:lastRenderedPageBreak/>
        <w:t>Приложение N 1</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к Порядку санкционирования оплаты</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денежных обязательств получателей</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средств местного бюджета</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и оплаты денежных обязательств,</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подлежащих исполнению за счет</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бюджетных ассигнований по источникам</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финансирования дефицита федерального</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 xml:space="preserve">бюджета, </w:t>
      </w:r>
      <w:proofErr w:type="gramStart"/>
      <w:r w:rsidRPr="00971C7D">
        <w:rPr>
          <w:rFonts w:ascii="Times New Roman" w:hAnsi="Times New Roman" w:cs="Times New Roman"/>
          <w:sz w:val="24"/>
          <w:szCs w:val="24"/>
        </w:rPr>
        <w:t>утвержденному</w:t>
      </w:r>
      <w:proofErr w:type="gramEnd"/>
      <w:r w:rsidRPr="00971C7D">
        <w:rPr>
          <w:rFonts w:ascii="Times New Roman" w:hAnsi="Times New Roman" w:cs="Times New Roman"/>
          <w:sz w:val="24"/>
          <w:szCs w:val="24"/>
        </w:rPr>
        <w:t xml:space="preserve"> приказом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872206" w:rsidRPr="00971C7D" w:rsidTr="00383175">
        <w:tc>
          <w:tcPr>
            <w:tcW w:w="9071" w:type="dxa"/>
            <w:tcBorders>
              <w:top w:val="nil"/>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bookmarkStart w:id="30" w:name="P212"/>
            <w:bookmarkEnd w:id="30"/>
            <w:r w:rsidRPr="00971C7D">
              <w:rPr>
                <w:rFonts w:ascii="Times New Roman" w:hAnsi="Times New Roman" w:cs="Times New Roman"/>
                <w:sz w:val="24"/>
                <w:szCs w:val="24"/>
              </w:rPr>
              <w:t>УВЕДОМЛЕНИЕ N _____</w:t>
            </w:r>
          </w:p>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о нарушении установленных предельных размеров авансового платежа</w:t>
            </w: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872206" w:rsidRPr="00971C7D" w:rsidTr="00383175">
        <w:tc>
          <w:tcPr>
            <w:tcW w:w="5725" w:type="dxa"/>
            <w:gridSpan w:val="3"/>
            <w:vMerge w:val="restart"/>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bottom"/>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Коды</w:t>
            </w:r>
          </w:p>
        </w:tc>
      </w:tr>
      <w:tr w:rsidR="00872206" w:rsidRPr="00971C7D" w:rsidTr="00383175">
        <w:tc>
          <w:tcPr>
            <w:tcW w:w="5725" w:type="dxa"/>
            <w:gridSpan w:val="3"/>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0504713</w:t>
            </w: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nil"/>
              <w:right w:val="nil"/>
            </w:tcBorders>
            <w:vAlign w:val="bottom"/>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от "__" _____ 20__ г.</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Наименование органа Федерального казначейства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vMerge w:val="restart"/>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Главный распорядитель (распорядитель) бюджетных средств</w:t>
            </w:r>
          </w:p>
        </w:tc>
        <w:tc>
          <w:tcPr>
            <w:tcW w:w="340" w:type="dxa"/>
            <w:vMerge w:val="restart"/>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Получатель бюджетных средств</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Наименование бюджета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Финансовый орган</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5725" w:type="dxa"/>
            <w:gridSpan w:val="3"/>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Единица измерения: руб. (с точностью до второго десятичного знака)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383</w:t>
            </w:r>
          </w:p>
        </w:tc>
      </w:tr>
    </w:tbl>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rPr>
          <w:rFonts w:ascii="Times New Roman" w:hAnsi="Times New Roman" w:cs="Times New Roman"/>
          <w:sz w:val="24"/>
          <w:szCs w:val="24"/>
        </w:rPr>
        <w:sectPr w:rsidR="00872206" w:rsidRPr="00971C7D" w:rsidSect="00A648C6">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67"/>
        <w:gridCol w:w="567"/>
        <w:gridCol w:w="1020"/>
        <w:gridCol w:w="567"/>
        <w:gridCol w:w="624"/>
        <w:gridCol w:w="1701"/>
        <w:gridCol w:w="2154"/>
        <w:gridCol w:w="1531"/>
        <w:gridCol w:w="737"/>
      </w:tblGrid>
      <w:tr w:rsidR="00872206" w:rsidRPr="00971C7D" w:rsidTr="00383175">
        <w:tc>
          <w:tcPr>
            <w:tcW w:w="3855" w:type="dxa"/>
            <w:gridSpan w:val="6"/>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lastRenderedPageBreak/>
              <w:t>Муниципальный контракт (договор)</w:t>
            </w:r>
          </w:p>
        </w:tc>
        <w:tc>
          <w:tcPr>
            <w:tcW w:w="1701"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Предельный размер авансового платежа, установленный законодательством Российской Федерации для данного вида муниципального контракта (договора), %</w:t>
            </w:r>
          </w:p>
        </w:tc>
        <w:tc>
          <w:tcPr>
            <w:tcW w:w="2154"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Сумма превышения размера авансового платежа, предусмотренного муниципальным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Примечание</w:t>
            </w:r>
          </w:p>
        </w:tc>
      </w:tr>
      <w:tr w:rsidR="00872206" w:rsidRPr="00971C7D" w:rsidTr="00383175">
        <w:tc>
          <w:tcPr>
            <w:tcW w:w="510" w:type="dxa"/>
            <w:vMerge w:val="restart"/>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номер</w:t>
            </w:r>
          </w:p>
        </w:tc>
        <w:tc>
          <w:tcPr>
            <w:tcW w:w="567"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дата</w:t>
            </w:r>
          </w:p>
        </w:tc>
        <w:tc>
          <w:tcPr>
            <w:tcW w:w="567"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сумма</w:t>
            </w:r>
          </w:p>
        </w:tc>
        <w:tc>
          <w:tcPr>
            <w:tcW w:w="1587" w:type="dxa"/>
            <w:gridSpan w:val="2"/>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авансовый платеж</w:t>
            </w:r>
          </w:p>
        </w:tc>
        <w:tc>
          <w:tcPr>
            <w:tcW w:w="624"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предмет</w:t>
            </w:r>
          </w:p>
        </w:tc>
        <w:tc>
          <w:tcPr>
            <w:tcW w:w="1701" w:type="dxa"/>
            <w:vMerge/>
          </w:tcPr>
          <w:p w:rsidR="00872206" w:rsidRPr="00971C7D" w:rsidRDefault="00872206" w:rsidP="00383175">
            <w:pPr>
              <w:pStyle w:val="ConsPlusNormal"/>
              <w:rPr>
                <w:rFonts w:ascii="Times New Roman" w:hAnsi="Times New Roman" w:cs="Times New Roman"/>
                <w:sz w:val="24"/>
                <w:szCs w:val="24"/>
              </w:rPr>
            </w:pPr>
          </w:p>
        </w:tc>
        <w:tc>
          <w:tcPr>
            <w:tcW w:w="2154" w:type="dxa"/>
            <w:vMerge/>
          </w:tcPr>
          <w:p w:rsidR="00872206" w:rsidRPr="00971C7D" w:rsidRDefault="00872206" w:rsidP="00383175">
            <w:pPr>
              <w:pStyle w:val="ConsPlusNormal"/>
              <w:rPr>
                <w:rFonts w:ascii="Times New Roman" w:hAnsi="Times New Roman" w:cs="Times New Roman"/>
                <w:sz w:val="24"/>
                <w:szCs w:val="24"/>
              </w:rPr>
            </w:pPr>
          </w:p>
        </w:tc>
        <w:tc>
          <w:tcPr>
            <w:tcW w:w="1531" w:type="dxa"/>
            <w:vMerge/>
          </w:tcPr>
          <w:p w:rsidR="00872206" w:rsidRPr="00971C7D" w:rsidRDefault="00872206" w:rsidP="00383175">
            <w:pPr>
              <w:pStyle w:val="ConsPlusNormal"/>
              <w:rPr>
                <w:rFonts w:ascii="Times New Roman" w:hAnsi="Times New Roman" w:cs="Times New Roman"/>
                <w:sz w:val="24"/>
                <w:szCs w:val="24"/>
              </w:rPr>
            </w:pPr>
          </w:p>
        </w:tc>
        <w:tc>
          <w:tcPr>
            <w:tcW w:w="737" w:type="dxa"/>
            <w:vMerge/>
            <w:tcBorders>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blPrEx>
          <w:tblBorders>
            <w:left w:val="single" w:sz="4" w:space="0" w:color="auto"/>
          </w:tblBorders>
        </w:tblPrEx>
        <w:tc>
          <w:tcPr>
            <w:tcW w:w="510" w:type="dxa"/>
            <w:vMerge/>
            <w:tcBorders>
              <w:left w:val="nil"/>
            </w:tcBorders>
          </w:tcPr>
          <w:p w:rsidR="00872206" w:rsidRPr="00971C7D" w:rsidRDefault="00872206" w:rsidP="00383175">
            <w:pPr>
              <w:pStyle w:val="ConsPlusNormal"/>
              <w:rPr>
                <w:rFonts w:ascii="Times New Roman" w:hAnsi="Times New Roman" w:cs="Times New Roman"/>
                <w:sz w:val="24"/>
                <w:szCs w:val="24"/>
              </w:rPr>
            </w:pPr>
          </w:p>
        </w:tc>
        <w:tc>
          <w:tcPr>
            <w:tcW w:w="567" w:type="dxa"/>
            <w:vMerge/>
          </w:tcPr>
          <w:p w:rsidR="00872206" w:rsidRPr="00971C7D" w:rsidRDefault="00872206" w:rsidP="00383175">
            <w:pPr>
              <w:pStyle w:val="ConsPlusNormal"/>
              <w:rPr>
                <w:rFonts w:ascii="Times New Roman" w:hAnsi="Times New Roman" w:cs="Times New Roman"/>
                <w:sz w:val="24"/>
                <w:szCs w:val="24"/>
              </w:rPr>
            </w:pPr>
          </w:p>
        </w:tc>
        <w:tc>
          <w:tcPr>
            <w:tcW w:w="567" w:type="dxa"/>
            <w:vMerge/>
          </w:tcPr>
          <w:p w:rsidR="00872206" w:rsidRPr="00971C7D" w:rsidRDefault="00872206" w:rsidP="00383175">
            <w:pPr>
              <w:pStyle w:val="ConsPlusNormal"/>
              <w:rPr>
                <w:rFonts w:ascii="Times New Roman" w:hAnsi="Times New Roman" w:cs="Times New Roman"/>
                <w:sz w:val="24"/>
                <w:szCs w:val="24"/>
              </w:rPr>
            </w:pPr>
          </w:p>
        </w:tc>
        <w:tc>
          <w:tcPr>
            <w:tcW w:w="1020"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процент от общей суммы</w:t>
            </w:r>
          </w:p>
        </w:tc>
        <w:tc>
          <w:tcPr>
            <w:tcW w:w="56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сумма</w:t>
            </w:r>
          </w:p>
        </w:tc>
        <w:tc>
          <w:tcPr>
            <w:tcW w:w="624" w:type="dxa"/>
            <w:vMerge/>
          </w:tcPr>
          <w:p w:rsidR="00872206" w:rsidRPr="00971C7D" w:rsidRDefault="00872206" w:rsidP="00383175">
            <w:pPr>
              <w:pStyle w:val="ConsPlusNormal"/>
              <w:rPr>
                <w:rFonts w:ascii="Times New Roman" w:hAnsi="Times New Roman" w:cs="Times New Roman"/>
                <w:sz w:val="24"/>
                <w:szCs w:val="24"/>
              </w:rPr>
            </w:pPr>
          </w:p>
        </w:tc>
        <w:tc>
          <w:tcPr>
            <w:tcW w:w="1701" w:type="dxa"/>
            <w:vMerge/>
          </w:tcPr>
          <w:p w:rsidR="00872206" w:rsidRPr="00971C7D" w:rsidRDefault="00872206" w:rsidP="00383175">
            <w:pPr>
              <w:pStyle w:val="ConsPlusNormal"/>
              <w:rPr>
                <w:rFonts w:ascii="Times New Roman" w:hAnsi="Times New Roman" w:cs="Times New Roman"/>
                <w:sz w:val="24"/>
                <w:szCs w:val="24"/>
              </w:rPr>
            </w:pPr>
          </w:p>
        </w:tc>
        <w:tc>
          <w:tcPr>
            <w:tcW w:w="2154" w:type="dxa"/>
            <w:vMerge/>
          </w:tcPr>
          <w:p w:rsidR="00872206" w:rsidRPr="00971C7D" w:rsidRDefault="00872206" w:rsidP="00383175">
            <w:pPr>
              <w:pStyle w:val="ConsPlusNormal"/>
              <w:rPr>
                <w:rFonts w:ascii="Times New Roman" w:hAnsi="Times New Roman" w:cs="Times New Roman"/>
                <w:sz w:val="24"/>
                <w:szCs w:val="24"/>
              </w:rPr>
            </w:pPr>
          </w:p>
        </w:tc>
        <w:tc>
          <w:tcPr>
            <w:tcW w:w="1531" w:type="dxa"/>
            <w:vMerge/>
          </w:tcPr>
          <w:p w:rsidR="00872206" w:rsidRPr="00971C7D" w:rsidRDefault="00872206" w:rsidP="00383175">
            <w:pPr>
              <w:pStyle w:val="ConsPlusNormal"/>
              <w:rPr>
                <w:rFonts w:ascii="Times New Roman" w:hAnsi="Times New Roman" w:cs="Times New Roman"/>
                <w:sz w:val="24"/>
                <w:szCs w:val="24"/>
              </w:rPr>
            </w:pPr>
          </w:p>
        </w:tc>
        <w:tc>
          <w:tcPr>
            <w:tcW w:w="737" w:type="dxa"/>
            <w:vMerge/>
            <w:tcBorders>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510" w:type="dxa"/>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1</w:t>
            </w:r>
          </w:p>
        </w:tc>
        <w:tc>
          <w:tcPr>
            <w:tcW w:w="56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2</w:t>
            </w:r>
          </w:p>
        </w:tc>
        <w:tc>
          <w:tcPr>
            <w:tcW w:w="56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3</w:t>
            </w:r>
          </w:p>
        </w:tc>
        <w:tc>
          <w:tcPr>
            <w:tcW w:w="1020"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4</w:t>
            </w:r>
          </w:p>
        </w:tc>
        <w:tc>
          <w:tcPr>
            <w:tcW w:w="56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5</w:t>
            </w:r>
          </w:p>
        </w:tc>
        <w:tc>
          <w:tcPr>
            <w:tcW w:w="62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6</w:t>
            </w:r>
          </w:p>
        </w:tc>
        <w:tc>
          <w:tcPr>
            <w:tcW w:w="1701"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8</w:t>
            </w:r>
          </w:p>
        </w:tc>
        <w:tc>
          <w:tcPr>
            <w:tcW w:w="215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9</w:t>
            </w:r>
          </w:p>
        </w:tc>
        <w:tc>
          <w:tcPr>
            <w:tcW w:w="1531"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10</w:t>
            </w:r>
          </w:p>
        </w:tc>
        <w:tc>
          <w:tcPr>
            <w:tcW w:w="737" w:type="dxa"/>
            <w:tcBorders>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11</w:t>
            </w:r>
          </w:p>
        </w:tc>
      </w:tr>
      <w:tr w:rsidR="00872206" w:rsidRPr="00971C7D" w:rsidTr="00383175">
        <w:tblPrEx>
          <w:tblBorders>
            <w:left w:val="single" w:sz="4" w:space="0" w:color="auto"/>
          </w:tblBorders>
        </w:tblPrEx>
        <w:tc>
          <w:tcPr>
            <w:tcW w:w="510" w:type="dxa"/>
          </w:tcPr>
          <w:p w:rsidR="00872206" w:rsidRPr="00971C7D" w:rsidRDefault="00872206" w:rsidP="00383175">
            <w:pPr>
              <w:pStyle w:val="ConsPlusNormal"/>
              <w:rPr>
                <w:rFonts w:ascii="Times New Roman" w:hAnsi="Times New Roman" w:cs="Times New Roman"/>
                <w:sz w:val="24"/>
                <w:szCs w:val="24"/>
              </w:rPr>
            </w:pPr>
          </w:p>
        </w:tc>
        <w:tc>
          <w:tcPr>
            <w:tcW w:w="567" w:type="dxa"/>
          </w:tcPr>
          <w:p w:rsidR="00872206" w:rsidRPr="00971C7D" w:rsidRDefault="00872206" w:rsidP="00383175">
            <w:pPr>
              <w:pStyle w:val="ConsPlusNormal"/>
              <w:rPr>
                <w:rFonts w:ascii="Times New Roman" w:hAnsi="Times New Roman" w:cs="Times New Roman"/>
                <w:sz w:val="24"/>
                <w:szCs w:val="24"/>
              </w:rPr>
            </w:pPr>
          </w:p>
        </w:tc>
        <w:tc>
          <w:tcPr>
            <w:tcW w:w="567" w:type="dxa"/>
          </w:tcPr>
          <w:p w:rsidR="00872206" w:rsidRPr="00971C7D" w:rsidRDefault="00872206" w:rsidP="00383175">
            <w:pPr>
              <w:pStyle w:val="ConsPlusNormal"/>
              <w:rPr>
                <w:rFonts w:ascii="Times New Roman" w:hAnsi="Times New Roman" w:cs="Times New Roman"/>
                <w:sz w:val="24"/>
                <w:szCs w:val="24"/>
              </w:rPr>
            </w:pPr>
          </w:p>
        </w:tc>
        <w:tc>
          <w:tcPr>
            <w:tcW w:w="1020" w:type="dxa"/>
          </w:tcPr>
          <w:p w:rsidR="00872206" w:rsidRPr="00971C7D" w:rsidRDefault="00872206" w:rsidP="00383175">
            <w:pPr>
              <w:pStyle w:val="ConsPlusNormal"/>
              <w:rPr>
                <w:rFonts w:ascii="Times New Roman" w:hAnsi="Times New Roman" w:cs="Times New Roman"/>
                <w:sz w:val="24"/>
                <w:szCs w:val="24"/>
              </w:rPr>
            </w:pPr>
          </w:p>
        </w:tc>
        <w:tc>
          <w:tcPr>
            <w:tcW w:w="567" w:type="dxa"/>
          </w:tcPr>
          <w:p w:rsidR="00872206" w:rsidRPr="00971C7D" w:rsidRDefault="00872206" w:rsidP="00383175">
            <w:pPr>
              <w:pStyle w:val="ConsPlusNormal"/>
              <w:rPr>
                <w:rFonts w:ascii="Times New Roman" w:hAnsi="Times New Roman" w:cs="Times New Roman"/>
                <w:sz w:val="24"/>
                <w:szCs w:val="24"/>
              </w:rPr>
            </w:pPr>
          </w:p>
        </w:tc>
        <w:tc>
          <w:tcPr>
            <w:tcW w:w="624" w:type="dxa"/>
          </w:tcPr>
          <w:p w:rsidR="00872206" w:rsidRPr="00971C7D" w:rsidRDefault="00872206" w:rsidP="00383175">
            <w:pPr>
              <w:pStyle w:val="ConsPlusNormal"/>
              <w:rPr>
                <w:rFonts w:ascii="Times New Roman" w:hAnsi="Times New Roman" w:cs="Times New Roman"/>
                <w:sz w:val="24"/>
                <w:szCs w:val="24"/>
              </w:rPr>
            </w:pPr>
          </w:p>
        </w:tc>
        <w:tc>
          <w:tcPr>
            <w:tcW w:w="1701" w:type="dxa"/>
          </w:tcPr>
          <w:p w:rsidR="00872206" w:rsidRPr="00971C7D" w:rsidRDefault="00872206" w:rsidP="00383175">
            <w:pPr>
              <w:pStyle w:val="ConsPlusNormal"/>
              <w:rPr>
                <w:rFonts w:ascii="Times New Roman" w:hAnsi="Times New Roman" w:cs="Times New Roman"/>
                <w:sz w:val="24"/>
                <w:szCs w:val="24"/>
              </w:rPr>
            </w:pPr>
          </w:p>
        </w:tc>
        <w:tc>
          <w:tcPr>
            <w:tcW w:w="2154" w:type="dxa"/>
          </w:tcPr>
          <w:p w:rsidR="00872206" w:rsidRPr="00971C7D" w:rsidRDefault="00872206" w:rsidP="00383175">
            <w:pPr>
              <w:pStyle w:val="ConsPlusNormal"/>
              <w:rPr>
                <w:rFonts w:ascii="Times New Roman" w:hAnsi="Times New Roman" w:cs="Times New Roman"/>
                <w:sz w:val="24"/>
                <w:szCs w:val="24"/>
              </w:rPr>
            </w:pPr>
          </w:p>
        </w:tc>
        <w:tc>
          <w:tcPr>
            <w:tcW w:w="1531" w:type="dxa"/>
          </w:tcPr>
          <w:p w:rsidR="00872206" w:rsidRPr="00971C7D" w:rsidRDefault="00872206" w:rsidP="00383175">
            <w:pPr>
              <w:pStyle w:val="ConsPlusNormal"/>
              <w:rPr>
                <w:rFonts w:ascii="Times New Roman" w:hAnsi="Times New Roman" w:cs="Times New Roman"/>
                <w:sz w:val="24"/>
                <w:szCs w:val="24"/>
              </w:rPr>
            </w:pPr>
          </w:p>
        </w:tc>
        <w:tc>
          <w:tcPr>
            <w:tcW w:w="737" w:type="dxa"/>
            <w:tcBorders>
              <w:right w:val="nil"/>
            </w:tcBorders>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rPr>
          <w:rFonts w:ascii="Times New Roman" w:hAnsi="Times New Roman" w:cs="Times New Roman"/>
          <w:sz w:val="24"/>
          <w:szCs w:val="24"/>
        </w:rPr>
        <w:sectPr w:rsidR="00872206" w:rsidRPr="00971C7D">
          <w:pgSz w:w="16838" w:h="11905" w:orient="landscape"/>
          <w:pgMar w:top="1701" w:right="1134" w:bottom="850" w:left="1134" w:header="0" w:footer="0" w:gutter="0"/>
          <w:cols w:space="720"/>
          <w:titlePg/>
        </w:sectPr>
      </w:pPr>
    </w:p>
    <w:p w:rsidR="00872206" w:rsidRPr="00971C7D" w:rsidRDefault="00872206" w:rsidP="0087220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34"/>
        <w:gridCol w:w="680"/>
      </w:tblGrid>
      <w:tr w:rsidR="00872206" w:rsidRPr="00971C7D" w:rsidTr="00383175">
        <w:tc>
          <w:tcPr>
            <w:tcW w:w="8334" w:type="dxa"/>
            <w:tcBorders>
              <w:top w:val="nil"/>
              <w:left w:val="nil"/>
              <w:bottom w:val="nil"/>
              <w:right w:val="nil"/>
            </w:tcBorders>
            <w:vAlign w:val="bottom"/>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Номер страницы</w:t>
            </w:r>
          </w:p>
        </w:tc>
        <w:tc>
          <w:tcPr>
            <w:tcW w:w="680"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8334" w:type="dxa"/>
            <w:tcBorders>
              <w:top w:val="nil"/>
              <w:left w:val="nil"/>
              <w:bottom w:val="nil"/>
              <w:right w:val="nil"/>
            </w:tcBorders>
            <w:vAlign w:val="bottom"/>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Всего страниц</w:t>
            </w:r>
          </w:p>
        </w:tc>
        <w:tc>
          <w:tcPr>
            <w:tcW w:w="680" w:type="dxa"/>
            <w:tcBorders>
              <w:top w:val="single" w:sz="4" w:space="0" w:color="auto"/>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74"/>
        <w:gridCol w:w="340"/>
        <w:gridCol w:w="1191"/>
        <w:gridCol w:w="340"/>
        <w:gridCol w:w="1587"/>
      </w:tblGrid>
      <w:tr w:rsidR="00872206" w:rsidRPr="00971C7D" w:rsidTr="00383175">
        <w:tc>
          <w:tcPr>
            <w:tcW w:w="3798"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Руководитель органа Федерального казначейства (уполномоченное лицо)</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74"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191"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798"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74"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(должность)</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191"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(подпись)</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(расшифровка подписи)</w:t>
            </w:r>
          </w:p>
        </w:tc>
      </w:tr>
      <w:tr w:rsidR="00872206" w:rsidRPr="00971C7D" w:rsidTr="00383175">
        <w:tc>
          <w:tcPr>
            <w:tcW w:w="3798"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"__" _____ 20__ г.</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74"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19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87"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361E5B" w:rsidRPr="00971C7D" w:rsidRDefault="00361E5B"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both"/>
        <w:rPr>
          <w:rFonts w:ascii="Times New Roman" w:hAnsi="Times New Roman" w:cs="Times New Roman"/>
          <w:sz w:val="24"/>
          <w:szCs w:val="24"/>
        </w:rPr>
      </w:pPr>
    </w:p>
    <w:p w:rsidR="00872206" w:rsidRPr="00971C7D" w:rsidRDefault="00872206" w:rsidP="00872206">
      <w:pPr>
        <w:pStyle w:val="ConsPlusNormal"/>
        <w:jc w:val="right"/>
        <w:outlineLvl w:val="1"/>
        <w:rPr>
          <w:rFonts w:ascii="Times New Roman" w:hAnsi="Times New Roman" w:cs="Times New Roman"/>
          <w:sz w:val="24"/>
          <w:szCs w:val="24"/>
        </w:rPr>
      </w:pPr>
      <w:r w:rsidRPr="00971C7D">
        <w:rPr>
          <w:rFonts w:ascii="Times New Roman" w:hAnsi="Times New Roman" w:cs="Times New Roman"/>
          <w:sz w:val="24"/>
          <w:szCs w:val="24"/>
        </w:rPr>
        <w:t>Приложение N 2</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к Порядку санкционирования оплаты</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денежных обязательств получателей</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средств местного бюджета</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и оплаты денежных обязательств,</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подлежащих исполнению за счет</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бюджетных ассигнований по источникам</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финансирования дефицита федерального</w:t>
      </w:r>
    </w:p>
    <w:p w:rsidR="00872206" w:rsidRPr="00971C7D" w:rsidRDefault="00872206" w:rsidP="00872206">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 xml:space="preserve">бюджета, </w:t>
      </w:r>
      <w:proofErr w:type="gramStart"/>
      <w:r w:rsidRPr="00971C7D">
        <w:rPr>
          <w:rFonts w:ascii="Times New Roman" w:hAnsi="Times New Roman" w:cs="Times New Roman"/>
          <w:sz w:val="24"/>
          <w:szCs w:val="24"/>
        </w:rPr>
        <w:t>утвержденному</w:t>
      </w:r>
      <w:proofErr w:type="gramEnd"/>
    </w:p>
    <w:p w:rsidR="00872206" w:rsidRPr="00971C7D" w:rsidRDefault="00872206" w:rsidP="0087220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872206" w:rsidRPr="00971C7D" w:rsidTr="00383175">
        <w:tc>
          <w:tcPr>
            <w:tcW w:w="9071" w:type="dxa"/>
            <w:tcBorders>
              <w:top w:val="nil"/>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bookmarkStart w:id="31" w:name="P356"/>
            <w:bookmarkEnd w:id="31"/>
            <w:r w:rsidRPr="00971C7D">
              <w:rPr>
                <w:rFonts w:ascii="Times New Roman" w:hAnsi="Times New Roman" w:cs="Times New Roman"/>
                <w:sz w:val="24"/>
                <w:szCs w:val="24"/>
              </w:rPr>
              <w:t>УВЕДОМЛЕНИЕ N _____</w:t>
            </w:r>
          </w:p>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о нарушении сроков внесения и размеров арендной платы</w:t>
            </w: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872206" w:rsidRPr="00971C7D" w:rsidTr="00383175">
        <w:tc>
          <w:tcPr>
            <w:tcW w:w="5725" w:type="dxa"/>
            <w:gridSpan w:val="3"/>
            <w:vMerge w:val="restart"/>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bottom"/>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Коды</w:t>
            </w:r>
          </w:p>
        </w:tc>
      </w:tr>
      <w:tr w:rsidR="00872206" w:rsidRPr="00971C7D" w:rsidTr="00383175">
        <w:tc>
          <w:tcPr>
            <w:tcW w:w="5725" w:type="dxa"/>
            <w:gridSpan w:val="3"/>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0504714</w:t>
            </w: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nil"/>
              <w:right w:val="nil"/>
            </w:tcBorders>
            <w:vAlign w:val="bottom"/>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от "__" _____ 20__ г.</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Наименование органа Федерального казначейства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vMerge w:val="restart"/>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Главный распорядитель (распорядитель) бюджетных средств</w:t>
            </w:r>
          </w:p>
        </w:tc>
        <w:tc>
          <w:tcPr>
            <w:tcW w:w="340" w:type="dxa"/>
            <w:vMerge w:val="restart"/>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vMerge/>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Получатель бюджетных средств</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Наименование бюджета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Финансовый орган</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single" w:sz="4" w:space="0" w:color="auto"/>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06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5725" w:type="dxa"/>
            <w:gridSpan w:val="3"/>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Единица измерения: руб. (с точностью до второго десятичного знака)</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928" w:type="dxa"/>
            <w:tcBorders>
              <w:top w:val="nil"/>
              <w:left w:val="nil"/>
              <w:bottom w:val="nil"/>
              <w:right w:val="single" w:sz="4" w:space="0" w:color="auto"/>
            </w:tcBorders>
            <w:vAlign w:val="center"/>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383</w:t>
            </w: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80"/>
        <w:gridCol w:w="1474"/>
        <w:gridCol w:w="1077"/>
        <w:gridCol w:w="1134"/>
        <w:gridCol w:w="1304"/>
        <w:gridCol w:w="1871"/>
        <w:gridCol w:w="850"/>
      </w:tblGrid>
      <w:tr w:rsidR="00872206" w:rsidRPr="00971C7D" w:rsidTr="00383175">
        <w:tc>
          <w:tcPr>
            <w:tcW w:w="4989" w:type="dxa"/>
            <w:gridSpan w:val="5"/>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Договор аренды</w:t>
            </w:r>
          </w:p>
        </w:tc>
        <w:tc>
          <w:tcPr>
            <w:tcW w:w="1304"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Фактическая дата внесения арендной платы</w:t>
            </w:r>
          </w:p>
        </w:tc>
        <w:tc>
          <w:tcPr>
            <w:tcW w:w="1871" w:type="dxa"/>
            <w:vMerge w:val="restart"/>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Сумма превышения размера арендной платы, установленной договором</w:t>
            </w:r>
          </w:p>
        </w:tc>
        <w:tc>
          <w:tcPr>
            <w:tcW w:w="850" w:type="dxa"/>
            <w:vMerge w:val="restart"/>
            <w:tcBorders>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Примечание</w:t>
            </w:r>
          </w:p>
        </w:tc>
      </w:tr>
      <w:tr w:rsidR="00872206" w:rsidRPr="00971C7D" w:rsidTr="00383175">
        <w:tc>
          <w:tcPr>
            <w:tcW w:w="624" w:type="dxa"/>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номер</w:t>
            </w:r>
          </w:p>
        </w:tc>
        <w:tc>
          <w:tcPr>
            <w:tcW w:w="680"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дата</w:t>
            </w:r>
          </w:p>
        </w:tc>
        <w:tc>
          <w:tcPr>
            <w:tcW w:w="147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периодичность внесения арендной платы</w:t>
            </w:r>
          </w:p>
        </w:tc>
        <w:tc>
          <w:tcPr>
            <w:tcW w:w="107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срок внесения арендной платы</w:t>
            </w:r>
          </w:p>
        </w:tc>
        <w:tc>
          <w:tcPr>
            <w:tcW w:w="113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сумма арендной платы за период</w:t>
            </w:r>
          </w:p>
        </w:tc>
        <w:tc>
          <w:tcPr>
            <w:tcW w:w="1304" w:type="dxa"/>
            <w:vMerge/>
          </w:tcPr>
          <w:p w:rsidR="00872206" w:rsidRPr="00971C7D" w:rsidRDefault="00872206" w:rsidP="00383175">
            <w:pPr>
              <w:pStyle w:val="ConsPlusNormal"/>
              <w:rPr>
                <w:rFonts w:ascii="Times New Roman" w:hAnsi="Times New Roman" w:cs="Times New Roman"/>
                <w:sz w:val="24"/>
                <w:szCs w:val="24"/>
              </w:rPr>
            </w:pPr>
          </w:p>
        </w:tc>
        <w:tc>
          <w:tcPr>
            <w:tcW w:w="1871" w:type="dxa"/>
            <w:vMerge/>
          </w:tcPr>
          <w:p w:rsidR="00872206" w:rsidRPr="00971C7D" w:rsidRDefault="00872206" w:rsidP="00383175">
            <w:pPr>
              <w:pStyle w:val="ConsPlusNormal"/>
              <w:rPr>
                <w:rFonts w:ascii="Times New Roman" w:hAnsi="Times New Roman" w:cs="Times New Roman"/>
                <w:sz w:val="24"/>
                <w:szCs w:val="24"/>
              </w:rPr>
            </w:pPr>
          </w:p>
        </w:tc>
        <w:tc>
          <w:tcPr>
            <w:tcW w:w="850" w:type="dxa"/>
            <w:vMerge/>
            <w:tcBorders>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624" w:type="dxa"/>
            <w:tcBorders>
              <w:lef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1</w:t>
            </w:r>
          </w:p>
        </w:tc>
        <w:tc>
          <w:tcPr>
            <w:tcW w:w="680"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2</w:t>
            </w:r>
          </w:p>
        </w:tc>
        <w:tc>
          <w:tcPr>
            <w:tcW w:w="147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3</w:t>
            </w:r>
          </w:p>
        </w:tc>
        <w:tc>
          <w:tcPr>
            <w:tcW w:w="1077"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4</w:t>
            </w:r>
          </w:p>
        </w:tc>
        <w:tc>
          <w:tcPr>
            <w:tcW w:w="113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5</w:t>
            </w:r>
          </w:p>
        </w:tc>
        <w:tc>
          <w:tcPr>
            <w:tcW w:w="1304"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6</w:t>
            </w:r>
          </w:p>
        </w:tc>
        <w:tc>
          <w:tcPr>
            <w:tcW w:w="1871" w:type="dxa"/>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7</w:t>
            </w:r>
          </w:p>
        </w:tc>
        <w:tc>
          <w:tcPr>
            <w:tcW w:w="850" w:type="dxa"/>
            <w:tcBorders>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8</w:t>
            </w:r>
          </w:p>
        </w:tc>
      </w:tr>
      <w:tr w:rsidR="00872206" w:rsidRPr="00971C7D" w:rsidTr="00383175">
        <w:tblPrEx>
          <w:tblBorders>
            <w:left w:val="single" w:sz="4" w:space="0" w:color="auto"/>
            <w:right w:val="single" w:sz="4" w:space="0" w:color="auto"/>
          </w:tblBorders>
        </w:tblPrEx>
        <w:tc>
          <w:tcPr>
            <w:tcW w:w="624" w:type="dxa"/>
          </w:tcPr>
          <w:p w:rsidR="00872206" w:rsidRPr="00971C7D" w:rsidRDefault="00872206" w:rsidP="00383175">
            <w:pPr>
              <w:pStyle w:val="ConsPlusNormal"/>
              <w:rPr>
                <w:rFonts w:ascii="Times New Roman" w:hAnsi="Times New Roman" w:cs="Times New Roman"/>
                <w:sz w:val="24"/>
                <w:szCs w:val="24"/>
              </w:rPr>
            </w:pPr>
          </w:p>
        </w:tc>
        <w:tc>
          <w:tcPr>
            <w:tcW w:w="680" w:type="dxa"/>
          </w:tcPr>
          <w:p w:rsidR="00872206" w:rsidRPr="00971C7D" w:rsidRDefault="00872206" w:rsidP="00383175">
            <w:pPr>
              <w:pStyle w:val="ConsPlusNormal"/>
              <w:rPr>
                <w:rFonts w:ascii="Times New Roman" w:hAnsi="Times New Roman" w:cs="Times New Roman"/>
                <w:sz w:val="24"/>
                <w:szCs w:val="24"/>
              </w:rPr>
            </w:pPr>
          </w:p>
        </w:tc>
        <w:tc>
          <w:tcPr>
            <w:tcW w:w="1474" w:type="dxa"/>
          </w:tcPr>
          <w:p w:rsidR="00872206" w:rsidRPr="00971C7D" w:rsidRDefault="00872206" w:rsidP="00383175">
            <w:pPr>
              <w:pStyle w:val="ConsPlusNormal"/>
              <w:rPr>
                <w:rFonts w:ascii="Times New Roman" w:hAnsi="Times New Roman" w:cs="Times New Roman"/>
                <w:sz w:val="24"/>
                <w:szCs w:val="24"/>
              </w:rPr>
            </w:pPr>
          </w:p>
        </w:tc>
        <w:tc>
          <w:tcPr>
            <w:tcW w:w="1077" w:type="dxa"/>
          </w:tcPr>
          <w:p w:rsidR="00872206" w:rsidRPr="00971C7D" w:rsidRDefault="00872206" w:rsidP="00383175">
            <w:pPr>
              <w:pStyle w:val="ConsPlusNormal"/>
              <w:rPr>
                <w:rFonts w:ascii="Times New Roman" w:hAnsi="Times New Roman" w:cs="Times New Roman"/>
                <w:sz w:val="24"/>
                <w:szCs w:val="24"/>
              </w:rPr>
            </w:pPr>
          </w:p>
        </w:tc>
        <w:tc>
          <w:tcPr>
            <w:tcW w:w="1134" w:type="dxa"/>
          </w:tcPr>
          <w:p w:rsidR="00872206" w:rsidRPr="00971C7D" w:rsidRDefault="00872206" w:rsidP="00383175">
            <w:pPr>
              <w:pStyle w:val="ConsPlusNormal"/>
              <w:rPr>
                <w:rFonts w:ascii="Times New Roman" w:hAnsi="Times New Roman" w:cs="Times New Roman"/>
                <w:sz w:val="24"/>
                <w:szCs w:val="24"/>
              </w:rPr>
            </w:pPr>
          </w:p>
        </w:tc>
        <w:tc>
          <w:tcPr>
            <w:tcW w:w="1304" w:type="dxa"/>
          </w:tcPr>
          <w:p w:rsidR="00872206" w:rsidRPr="00971C7D" w:rsidRDefault="00872206" w:rsidP="00383175">
            <w:pPr>
              <w:pStyle w:val="ConsPlusNormal"/>
              <w:rPr>
                <w:rFonts w:ascii="Times New Roman" w:hAnsi="Times New Roman" w:cs="Times New Roman"/>
                <w:sz w:val="24"/>
                <w:szCs w:val="24"/>
              </w:rPr>
            </w:pPr>
          </w:p>
        </w:tc>
        <w:tc>
          <w:tcPr>
            <w:tcW w:w="1871" w:type="dxa"/>
          </w:tcPr>
          <w:p w:rsidR="00872206" w:rsidRPr="00971C7D" w:rsidRDefault="00872206" w:rsidP="00383175">
            <w:pPr>
              <w:pStyle w:val="ConsPlusNormal"/>
              <w:rPr>
                <w:rFonts w:ascii="Times New Roman" w:hAnsi="Times New Roman" w:cs="Times New Roman"/>
                <w:sz w:val="24"/>
                <w:szCs w:val="24"/>
              </w:rPr>
            </w:pPr>
          </w:p>
        </w:tc>
        <w:tc>
          <w:tcPr>
            <w:tcW w:w="850" w:type="dxa"/>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77"/>
        <w:gridCol w:w="737"/>
      </w:tblGrid>
      <w:tr w:rsidR="00872206" w:rsidRPr="00971C7D" w:rsidTr="00383175">
        <w:tc>
          <w:tcPr>
            <w:tcW w:w="8277" w:type="dxa"/>
            <w:tcBorders>
              <w:top w:val="nil"/>
              <w:left w:val="nil"/>
              <w:bottom w:val="nil"/>
              <w:right w:val="nil"/>
            </w:tcBorders>
            <w:vAlign w:val="bottom"/>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lastRenderedPageBreak/>
              <w:t>Номер страницы</w:t>
            </w:r>
          </w:p>
        </w:tc>
        <w:tc>
          <w:tcPr>
            <w:tcW w:w="737"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8277" w:type="dxa"/>
            <w:tcBorders>
              <w:top w:val="nil"/>
              <w:left w:val="nil"/>
              <w:bottom w:val="nil"/>
              <w:right w:val="nil"/>
            </w:tcBorders>
          </w:tcPr>
          <w:p w:rsidR="00872206" w:rsidRPr="00971C7D" w:rsidRDefault="00872206" w:rsidP="00383175">
            <w:pPr>
              <w:pStyle w:val="ConsPlusNormal"/>
              <w:jc w:val="right"/>
              <w:rPr>
                <w:rFonts w:ascii="Times New Roman" w:hAnsi="Times New Roman" w:cs="Times New Roman"/>
                <w:sz w:val="24"/>
                <w:szCs w:val="24"/>
              </w:rPr>
            </w:pPr>
            <w:r w:rsidRPr="00971C7D">
              <w:rPr>
                <w:rFonts w:ascii="Times New Roman" w:hAnsi="Times New Roman" w:cs="Times New Roman"/>
                <w:sz w:val="24"/>
                <w:szCs w:val="24"/>
              </w:rPr>
              <w:t>Всего страниц</w:t>
            </w:r>
          </w:p>
        </w:tc>
        <w:tc>
          <w:tcPr>
            <w:tcW w:w="737" w:type="dxa"/>
            <w:tcBorders>
              <w:top w:val="single" w:sz="4" w:space="0" w:color="auto"/>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17"/>
        <w:gridCol w:w="340"/>
        <w:gridCol w:w="1247"/>
        <w:gridCol w:w="340"/>
        <w:gridCol w:w="1531"/>
      </w:tblGrid>
      <w:tr w:rsidR="00872206" w:rsidRPr="00971C7D" w:rsidTr="00383175">
        <w:tc>
          <w:tcPr>
            <w:tcW w:w="3798"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Руководитель органа Федерального казначейства (уполномоченное лицо)</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247"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31" w:type="dxa"/>
            <w:tcBorders>
              <w:top w:val="nil"/>
              <w:left w:val="nil"/>
              <w:bottom w:val="single" w:sz="4" w:space="0" w:color="auto"/>
              <w:right w:val="nil"/>
            </w:tcBorders>
          </w:tcPr>
          <w:p w:rsidR="00872206" w:rsidRPr="00971C7D" w:rsidRDefault="00872206" w:rsidP="00383175">
            <w:pPr>
              <w:pStyle w:val="ConsPlusNormal"/>
              <w:rPr>
                <w:rFonts w:ascii="Times New Roman" w:hAnsi="Times New Roman" w:cs="Times New Roman"/>
                <w:sz w:val="24"/>
                <w:szCs w:val="24"/>
              </w:rPr>
            </w:pPr>
          </w:p>
        </w:tc>
      </w:tr>
      <w:tr w:rsidR="00872206" w:rsidRPr="00971C7D" w:rsidTr="00383175">
        <w:tc>
          <w:tcPr>
            <w:tcW w:w="3798" w:type="dxa"/>
            <w:tcBorders>
              <w:top w:val="nil"/>
              <w:left w:val="nil"/>
              <w:bottom w:val="nil"/>
              <w:right w:val="nil"/>
            </w:tcBorders>
            <w:vAlign w:val="bottom"/>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(должность)</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247"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(подпись)</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31" w:type="dxa"/>
            <w:tcBorders>
              <w:top w:val="single" w:sz="4" w:space="0" w:color="auto"/>
              <w:left w:val="nil"/>
              <w:bottom w:val="nil"/>
              <w:right w:val="nil"/>
            </w:tcBorders>
          </w:tcPr>
          <w:p w:rsidR="00872206" w:rsidRPr="00971C7D" w:rsidRDefault="00872206" w:rsidP="00383175">
            <w:pPr>
              <w:pStyle w:val="ConsPlusNormal"/>
              <w:jc w:val="center"/>
              <w:rPr>
                <w:rFonts w:ascii="Times New Roman" w:hAnsi="Times New Roman" w:cs="Times New Roman"/>
                <w:sz w:val="24"/>
                <w:szCs w:val="24"/>
              </w:rPr>
            </w:pPr>
            <w:r w:rsidRPr="00971C7D">
              <w:rPr>
                <w:rFonts w:ascii="Times New Roman" w:hAnsi="Times New Roman" w:cs="Times New Roman"/>
                <w:sz w:val="24"/>
                <w:szCs w:val="24"/>
              </w:rPr>
              <w:t>(расшифровка подписи)</w:t>
            </w:r>
          </w:p>
        </w:tc>
      </w:tr>
      <w:tr w:rsidR="00872206" w:rsidRPr="00971C7D" w:rsidTr="00383175">
        <w:tc>
          <w:tcPr>
            <w:tcW w:w="3798"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r w:rsidRPr="00971C7D">
              <w:rPr>
                <w:rFonts w:ascii="Times New Roman" w:hAnsi="Times New Roman" w:cs="Times New Roman"/>
                <w:sz w:val="24"/>
                <w:szCs w:val="24"/>
              </w:rPr>
              <w:t>"__" _______ 20__ г.</w:t>
            </w: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417"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247"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340"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c>
          <w:tcPr>
            <w:tcW w:w="1531" w:type="dxa"/>
            <w:tcBorders>
              <w:top w:val="nil"/>
              <w:left w:val="nil"/>
              <w:bottom w:val="nil"/>
              <w:right w:val="nil"/>
            </w:tcBorders>
          </w:tcPr>
          <w:p w:rsidR="00872206" w:rsidRPr="00971C7D" w:rsidRDefault="00872206" w:rsidP="00383175">
            <w:pPr>
              <w:pStyle w:val="ConsPlusNormal"/>
              <w:rPr>
                <w:rFonts w:ascii="Times New Roman" w:hAnsi="Times New Roman" w:cs="Times New Roman"/>
                <w:sz w:val="24"/>
                <w:szCs w:val="24"/>
              </w:rPr>
            </w:pPr>
          </w:p>
        </w:tc>
      </w:tr>
    </w:tbl>
    <w:p w:rsidR="00872206" w:rsidRPr="00971C7D" w:rsidRDefault="00872206" w:rsidP="00872206">
      <w:pPr>
        <w:pStyle w:val="ConsPlusNormal"/>
        <w:jc w:val="both"/>
        <w:rPr>
          <w:rFonts w:ascii="Times New Roman" w:hAnsi="Times New Roman" w:cs="Times New Roman"/>
          <w:sz w:val="24"/>
          <w:szCs w:val="24"/>
        </w:rPr>
      </w:pPr>
    </w:p>
    <w:p w:rsidR="00E86221" w:rsidRPr="00971C7D" w:rsidRDefault="00E86221" w:rsidP="00585181">
      <w:pPr>
        <w:spacing w:after="0"/>
        <w:rPr>
          <w:rFonts w:ascii="Times New Roman" w:hAnsi="Times New Roman" w:cs="Times New Roman"/>
          <w:sz w:val="24"/>
          <w:szCs w:val="24"/>
        </w:rPr>
        <w:sectPr w:rsidR="00E86221" w:rsidRPr="00971C7D" w:rsidSect="00EE702B">
          <w:pgSz w:w="11906" w:h="16838"/>
          <w:pgMar w:top="851" w:right="851" w:bottom="851" w:left="1701" w:header="709" w:footer="709" w:gutter="0"/>
          <w:cols w:space="708"/>
          <w:docGrid w:linePitch="360"/>
        </w:sectPr>
      </w:pPr>
    </w:p>
    <w:p w:rsidR="00F813F8" w:rsidRDefault="00F813F8" w:rsidP="003625C4">
      <w:pPr>
        <w:spacing w:after="0"/>
        <w:rPr>
          <w:rFonts w:ascii="Times New Roman" w:hAnsi="Times New Roman" w:cs="Times New Roman"/>
          <w:sz w:val="24"/>
          <w:szCs w:val="24"/>
        </w:rPr>
      </w:pPr>
      <w:bookmarkStart w:id="32" w:name="_GoBack"/>
      <w:bookmarkEnd w:id="32"/>
    </w:p>
    <w:sectPr w:rsidR="00F813F8" w:rsidSect="0090740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1806"/>
    <w:multiLevelType w:val="hybridMultilevel"/>
    <w:tmpl w:val="9EAA5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221"/>
    <w:rsid w:val="00094A4F"/>
    <w:rsid w:val="000C1F2B"/>
    <w:rsid w:val="00101BBF"/>
    <w:rsid w:val="00184F25"/>
    <w:rsid w:val="00191667"/>
    <w:rsid w:val="001C128E"/>
    <w:rsid w:val="002A0349"/>
    <w:rsid w:val="002B0EBD"/>
    <w:rsid w:val="002B6537"/>
    <w:rsid w:val="002C578F"/>
    <w:rsid w:val="0035265B"/>
    <w:rsid w:val="00361E5B"/>
    <w:rsid w:val="003625C4"/>
    <w:rsid w:val="003B7031"/>
    <w:rsid w:val="003C579A"/>
    <w:rsid w:val="003C79E1"/>
    <w:rsid w:val="00405863"/>
    <w:rsid w:val="004312BE"/>
    <w:rsid w:val="004A3A8E"/>
    <w:rsid w:val="004A7F72"/>
    <w:rsid w:val="00543584"/>
    <w:rsid w:val="0055756B"/>
    <w:rsid w:val="00585181"/>
    <w:rsid w:val="006300F7"/>
    <w:rsid w:val="00650ECE"/>
    <w:rsid w:val="00681B54"/>
    <w:rsid w:val="006D134A"/>
    <w:rsid w:val="006E0917"/>
    <w:rsid w:val="006E3F46"/>
    <w:rsid w:val="007B7B97"/>
    <w:rsid w:val="0083146E"/>
    <w:rsid w:val="00841979"/>
    <w:rsid w:val="008528CF"/>
    <w:rsid w:val="00872206"/>
    <w:rsid w:val="00893DD9"/>
    <w:rsid w:val="00894521"/>
    <w:rsid w:val="008A53EA"/>
    <w:rsid w:val="008F2DC4"/>
    <w:rsid w:val="008F6F19"/>
    <w:rsid w:val="00910950"/>
    <w:rsid w:val="00971C7D"/>
    <w:rsid w:val="00995C2E"/>
    <w:rsid w:val="009E59DF"/>
    <w:rsid w:val="00A56C8E"/>
    <w:rsid w:val="00A9454E"/>
    <w:rsid w:val="00B403AF"/>
    <w:rsid w:val="00B84842"/>
    <w:rsid w:val="00B87EC7"/>
    <w:rsid w:val="00B92CE4"/>
    <w:rsid w:val="00BB37FA"/>
    <w:rsid w:val="00BF1FB1"/>
    <w:rsid w:val="00C10847"/>
    <w:rsid w:val="00CC6C32"/>
    <w:rsid w:val="00D611BE"/>
    <w:rsid w:val="00D774DA"/>
    <w:rsid w:val="00D825F9"/>
    <w:rsid w:val="00DD4C27"/>
    <w:rsid w:val="00E66E79"/>
    <w:rsid w:val="00E84D57"/>
    <w:rsid w:val="00E86221"/>
    <w:rsid w:val="00EC4178"/>
    <w:rsid w:val="00EE702B"/>
    <w:rsid w:val="00F00F9E"/>
    <w:rsid w:val="00F247B2"/>
    <w:rsid w:val="00F813F8"/>
    <w:rsid w:val="00FB07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62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862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86221"/>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3C79E1"/>
    <w:rPr>
      <w:color w:val="0000FF"/>
      <w:u w:val="single"/>
    </w:rPr>
  </w:style>
  <w:style w:type="paragraph" w:styleId="a4">
    <w:name w:val="No Spacing"/>
    <w:uiPriority w:val="1"/>
    <w:qFormat/>
    <w:rsid w:val="003C79E1"/>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C10847"/>
    <w:pPr>
      <w:ind w:left="720"/>
      <w:contextualSpacing/>
    </w:pPr>
  </w:style>
  <w:style w:type="paragraph" w:styleId="a6">
    <w:name w:val="Body Text Indent"/>
    <w:basedOn w:val="a"/>
    <w:link w:val="a7"/>
    <w:semiHidden/>
    <w:unhideWhenUsed/>
    <w:rsid w:val="00BF1FB1"/>
    <w:pPr>
      <w:spacing w:after="0" w:line="240" w:lineRule="auto"/>
      <w:ind w:left="5664"/>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BF1FB1"/>
    <w:rPr>
      <w:rFonts w:ascii="Times New Roman" w:eastAsia="Times New Roman" w:hAnsi="Times New Roman" w:cs="Times New Roman"/>
      <w:sz w:val="24"/>
      <w:szCs w:val="24"/>
      <w:lang w:eastAsia="ru-RU"/>
    </w:rPr>
  </w:style>
  <w:style w:type="paragraph" w:customStyle="1" w:styleId="ConsTitle">
    <w:name w:val="ConsTitle"/>
    <w:rsid w:val="00BF1FB1"/>
    <w:pPr>
      <w:widowControl w:val="0"/>
      <w:autoSpaceDE w:val="0"/>
      <w:autoSpaceDN w:val="0"/>
      <w:adjustRightInd w:val="0"/>
      <w:spacing w:after="0" w:line="240" w:lineRule="auto"/>
      <w:ind w:right="19772"/>
    </w:pPr>
    <w:rPr>
      <w:rFonts w:ascii="Arial" w:eastAsia="Times New Roman" w:hAnsi="Arial" w:cs="Arial"/>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62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862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86221"/>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3C79E1"/>
    <w:rPr>
      <w:color w:val="0000FF"/>
      <w:u w:val="single"/>
    </w:rPr>
  </w:style>
  <w:style w:type="paragraph" w:styleId="a4">
    <w:name w:val="No Spacing"/>
    <w:uiPriority w:val="1"/>
    <w:qFormat/>
    <w:rsid w:val="003C79E1"/>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C10847"/>
    <w:pPr>
      <w:ind w:left="720"/>
      <w:contextualSpacing/>
    </w:pPr>
  </w:style>
  <w:style w:type="paragraph" w:styleId="a6">
    <w:name w:val="Body Text Indent"/>
    <w:basedOn w:val="a"/>
    <w:link w:val="a7"/>
    <w:semiHidden/>
    <w:unhideWhenUsed/>
    <w:rsid w:val="00BF1FB1"/>
    <w:pPr>
      <w:spacing w:after="0" w:line="240" w:lineRule="auto"/>
      <w:ind w:left="5664"/>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BF1FB1"/>
    <w:rPr>
      <w:rFonts w:ascii="Times New Roman" w:eastAsia="Times New Roman" w:hAnsi="Times New Roman" w:cs="Times New Roman"/>
      <w:sz w:val="24"/>
      <w:szCs w:val="24"/>
      <w:lang w:eastAsia="ru-RU"/>
    </w:rPr>
  </w:style>
  <w:style w:type="paragraph" w:customStyle="1" w:styleId="ConsTitle">
    <w:name w:val="ConsTitle"/>
    <w:rsid w:val="00BF1FB1"/>
    <w:pPr>
      <w:widowControl w:val="0"/>
      <w:autoSpaceDE w:val="0"/>
      <w:autoSpaceDN w:val="0"/>
      <w:adjustRightInd w:val="0"/>
      <w:spacing w:after="0" w:line="240" w:lineRule="auto"/>
      <w:ind w:right="19772"/>
    </w:pPr>
    <w:rPr>
      <w:rFonts w:ascii="Arial" w:eastAsia="Times New Roman" w:hAnsi="Arial" w:cs="Arial"/>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94046">
      <w:bodyDiv w:val="1"/>
      <w:marLeft w:val="0"/>
      <w:marRight w:val="0"/>
      <w:marTop w:val="0"/>
      <w:marBottom w:val="0"/>
      <w:divBdr>
        <w:top w:val="none" w:sz="0" w:space="0" w:color="auto"/>
        <w:left w:val="none" w:sz="0" w:space="0" w:color="auto"/>
        <w:bottom w:val="none" w:sz="0" w:space="0" w:color="auto"/>
        <w:right w:val="none" w:sz="0" w:space="0" w:color="auto"/>
      </w:divBdr>
    </w:div>
    <w:div w:id="668870910">
      <w:bodyDiv w:val="1"/>
      <w:marLeft w:val="0"/>
      <w:marRight w:val="0"/>
      <w:marTop w:val="0"/>
      <w:marBottom w:val="0"/>
      <w:divBdr>
        <w:top w:val="none" w:sz="0" w:space="0" w:color="auto"/>
        <w:left w:val="none" w:sz="0" w:space="0" w:color="auto"/>
        <w:bottom w:val="none" w:sz="0" w:space="0" w:color="auto"/>
        <w:right w:val="none" w:sz="0" w:space="0" w:color="auto"/>
      </w:divBdr>
    </w:div>
    <w:div w:id="128754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44E2787F0DC8A2AF942E3B304654E771F44EDE1E300E0E3B7ABA420DA2FE32ED8850720579B34CB89BEA89698DC46A8BD58D26F3B5gCn3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144E2787F0DC8A2AF942E3B304654E771F44EDE1E300E0E3B7ABA420DA2FE32ED8850740971B24CB89BEA89698DC46A8BD58D26F3B5gCn3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44E2787F0DC8A2AF942E3B304654E771F44EDE1E300E0E3B7ABA420DA2FE32ED8850750A7DB44CB89BEA89698DC46A8BD58D26F3B5gCn3J" TargetMode="External"/><Relationship Id="rId11" Type="http://schemas.openxmlformats.org/officeDocument/2006/relationships/hyperlink" Target="http://www.idra-rayon.ru" TargetMode="External"/><Relationship Id="rId5" Type="http://schemas.openxmlformats.org/officeDocument/2006/relationships/webSettings" Target="webSettings.xml"/><Relationship Id="rId10" Type="http://schemas.openxmlformats.org/officeDocument/2006/relationships/hyperlink" Target="http://www.consultant.ru/document/cons_doc_LAW_286405/32f8c7df87ee1d591cf0567b0e54f6038bc06e87/" TargetMode="External"/><Relationship Id="rId4" Type="http://schemas.openxmlformats.org/officeDocument/2006/relationships/settings" Target="settings.xml"/><Relationship Id="rId9" Type="http://schemas.openxmlformats.org/officeDocument/2006/relationships/hyperlink" Target="consultantplus://offline/ref=8144E2787F0DC8A2AF942E3B304654E771F44EDE1E300E0E3B7ABA420DA2FE32ED8850770C7BB341EFC1FA8D20D9CA7589C99226EDB5C289g0n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4450</Words>
  <Characters>25370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VNN</dc:creator>
  <cp:lastModifiedBy>Пользователь</cp:lastModifiedBy>
  <cp:revision>16</cp:revision>
  <cp:lastPrinted>2024-01-31T07:18:00Z</cp:lastPrinted>
  <dcterms:created xsi:type="dcterms:W3CDTF">2024-02-08T07:51:00Z</dcterms:created>
  <dcterms:modified xsi:type="dcterms:W3CDTF">2024-02-09T09:29:00Z</dcterms:modified>
</cp:coreProperties>
</file>